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42" w:type="dxa"/>
        <w:tblInd w:w="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42"/>
      </w:tblGrid>
      <w:tr w:rsidR="0011665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45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pStyle w:val="Tekstprzypisudolnego1"/>
              <w:spacing w:after="40"/>
              <w:jc w:val="right"/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t>Załącznik nr 5 do SIWZ</w:t>
            </w: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5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pStyle w:val="Nagwek1"/>
            </w:pPr>
            <w:r>
              <w:t xml:space="preserve">OŚWIADCZENIE O WYMAGANYCH PARAMETRACH TECHNICZNYCH </w:t>
            </w:r>
          </w:p>
          <w:p w:rsidR="00116659" w:rsidRDefault="004502C8">
            <w:pPr>
              <w:pStyle w:val="Nagwek1"/>
            </w:pPr>
            <w:r>
              <w:t xml:space="preserve">– SZCZEGÓŁOWY OPIS PRZEDMIOTU ZAMÓWIENIA  </w:t>
            </w:r>
          </w:p>
        </w:tc>
      </w:tr>
    </w:tbl>
    <w:p w:rsidR="00116659" w:rsidRDefault="00116659">
      <w:pPr>
        <w:rPr>
          <w:bCs/>
          <w:sz w:val="22"/>
        </w:rPr>
      </w:pPr>
    </w:p>
    <w:p w:rsidR="00116659" w:rsidRDefault="004502C8">
      <w:pPr>
        <w:pStyle w:val="Tytu"/>
        <w:rPr>
          <w:b w:val="0"/>
        </w:rPr>
      </w:pPr>
      <w:r>
        <w:rPr>
          <w:b w:val="0"/>
        </w:rPr>
        <w:t xml:space="preserve">Przystępując do postępowania w sprawie udzielenia zamówienia publicznego </w:t>
      </w:r>
    </w:p>
    <w:p w:rsidR="00116659" w:rsidRDefault="004502C8">
      <w:pPr>
        <w:pStyle w:val="Tytu"/>
      </w:pPr>
      <w:r>
        <w:rPr>
          <w:b w:val="0"/>
        </w:rPr>
        <w:t xml:space="preserve">trybie przetargu </w:t>
      </w:r>
      <w:r>
        <w:rPr>
          <w:b w:val="0"/>
        </w:rPr>
        <w:t xml:space="preserve">nieograniczonego </w:t>
      </w:r>
      <w:r>
        <w:rPr>
          <w:b w:val="0"/>
          <w:color w:val="000000"/>
        </w:rPr>
        <w:t>na dostawę densytometru dla</w:t>
      </w:r>
    </w:p>
    <w:p w:rsidR="00116659" w:rsidRDefault="004502C8">
      <w:pPr>
        <w:pStyle w:val="Tytu"/>
      </w:pPr>
      <w:r>
        <w:rPr>
          <w:b w:val="0"/>
          <w:color w:val="000000"/>
        </w:rPr>
        <w:t xml:space="preserve"> </w:t>
      </w:r>
      <w:r>
        <w:t xml:space="preserve"> </w:t>
      </w:r>
      <w:r>
        <w:rPr>
          <w:b w:val="0"/>
        </w:rPr>
        <w:t>Mazowieckiego Szpitala Specjalistycznego Sp. z o.o.</w:t>
      </w:r>
    </w:p>
    <w:p w:rsidR="00116659" w:rsidRDefault="004502C8">
      <w:pPr>
        <w:pStyle w:val="Tytu"/>
      </w:pPr>
      <w:r>
        <w:rPr>
          <w:b w:val="0"/>
        </w:rPr>
        <w:t xml:space="preserve"> </w:t>
      </w:r>
      <w:r>
        <w:rPr>
          <w:b w:val="0"/>
          <w:szCs w:val="22"/>
        </w:rPr>
        <w:t>z siedzibą w Radomiu, ul. Juliana Aleksandrowicza 5</w:t>
      </w:r>
    </w:p>
    <w:p w:rsidR="00116659" w:rsidRDefault="00116659">
      <w:pPr>
        <w:jc w:val="center"/>
        <w:rPr>
          <w:sz w:val="16"/>
        </w:rPr>
      </w:pPr>
    </w:p>
    <w:p w:rsidR="00116659" w:rsidRDefault="00116659">
      <w:pPr>
        <w:jc w:val="center"/>
        <w:rPr>
          <w:sz w:val="16"/>
        </w:rPr>
      </w:pPr>
    </w:p>
    <w:p w:rsidR="00116659" w:rsidRDefault="004502C8">
      <w:pPr>
        <w:jc w:val="center"/>
        <w:rPr>
          <w:b/>
          <w:u w:val="single"/>
        </w:rPr>
      </w:pPr>
      <w:r>
        <w:rPr>
          <w:b/>
          <w:u w:val="single"/>
        </w:rPr>
        <w:t>OŚWIADCZAMY, ŻE OFERUJEMY:</w:t>
      </w:r>
    </w:p>
    <w:p w:rsidR="00116659" w:rsidRDefault="00116659">
      <w:pPr>
        <w:jc w:val="center"/>
        <w:rPr>
          <w:b/>
          <w:u w:val="single"/>
        </w:rPr>
      </w:pPr>
    </w:p>
    <w:p w:rsidR="00116659" w:rsidRDefault="004502C8">
      <w:pPr>
        <w:pStyle w:val="Nagwek"/>
        <w:jc w:val="both"/>
      </w:pPr>
      <w:r>
        <w:rPr>
          <w:sz w:val="22"/>
          <w:lang w:val="pl-PL"/>
        </w:rPr>
        <w:t>Niespełnienie co najmniej jednego z postawionych poniżej wymagań co do ich</w:t>
      </w:r>
      <w:r>
        <w:rPr>
          <w:sz w:val="22"/>
          <w:lang w:val="pl-PL"/>
        </w:rPr>
        <w:t xml:space="preserve"> wartości minimalnych spowoduje odrzucenie oferty.</w:t>
      </w:r>
    </w:p>
    <w:p w:rsidR="00116659" w:rsidRDefault="004502C8">
      <w:r>
        <w:rPr>
          <w:b/>
          <w:bCs/>
          <w:i/>
          <w:iCs/>
          <w:sz w:val="22"/>
          <w:szCs w:val="22"/>
        </w:rPr>
        <w:t>Kolumnę 5 wypełnia Wykonawca.</w:t>
      </w:r>
    </w:p>
    <w:tbl>
      <w:tblPr>
        <w:tblW w:w="14688" w:type="dxa"/>
        <w:tblInd w:w="-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"/>
        <w:gridCol w:w="244"/>
        <w:gridCol w:w="4809"/>
        <w:gridCol w:w="1698"/>
        <w:gridCol w:w="2971"/>
        <w:gridCol w:w="142"/>
        <w:gridCol w:w="4071"/>
        <w:gridCol w:w="424"/>
        <w:gridCol w:w="40"/>
      </w:tblGrid>
      <w:tr w:rsidR="0011665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290" w:type="dxa"/>
          </w:tcPr>
          <w:p w:rsidR="00116659" w:rsidRDefault="0011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6659" w:rsidRDefault="004502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Densytometr – szt. 1</w:t>
            </w:r>
          </w:p>
        </w:tc>
        <w:tc>
          <w:tcPr>
            <w:tcW w:w="425" w:type="dxa"/>
          </w:tcPr>
          <w:p w:rsidR="00116659" w:rsidRDefault="0011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Parametry techniczne i funkcjonalne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Wymagania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Parametr oceniany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oferowana</w:t>
            </w: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Informacje ogólne 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Producent urządzenia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Podać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Nazwa i typ urządzenia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Podać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Rok produkcji: 2018, aparat fabrycznie nowy, egzemplarz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niepowystawowy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oraz nie demo.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II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Parametry ogólne 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Aparat rentgenowski stacjonarny (bez składanego blatu stołu) typu DXA </w:t>
            </w:r>
            <w:r>
              <w:rPr>
                <w:rFonts w:ascii="Calibri" w:hAnsi="Calibri"/>
                <w:sz w:val="20"/>
                <w:szCs w:val="20"/>
              </w:rPr>
              <w:t xml:space="preserve">lub równoważny (opisać alternatywne rozwiązanie)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Stół z ramieniem typu 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Napięcie zasilające system 230 V/50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bez konieczności stosowania dodatkowych urządzeń zasilających typu UPS, </w:t>
            </w:r>
            <w:r>
              <w:rPr>
                <w:rFonts w:ascii="Calibri" w:hAnsi="Calibri"/>
                <w:sz w:val="20"/>
                <w:szCs w:val="20"/>
              </w:rPr>
              <w:t xml:space="preserve">kompensacja napięcia ±10%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Moc generatora lampy rentgenowskiej:  przy 100% obciążeniu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Moc generatora ≤ 0,5 kW – 5 pkt.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Moc generatora &gt; 0,5 kW – 0 pkt.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Pobór mocy w stanie oczekiwania (stand-by): maksimum 50VA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III 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Lampa RTG, detektor, obrazowanie 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Technologia obrazowania zapewniająca minimalne ryzyko efektu powiększenia i zniekształcenia obiektów leżących poza osią wiązki. Podać nazwę i zasadę działania algorytmu </w:t>
            </w:r>
            <w:r>
              <w:rPr>
                <w:rFonts w:ascii="Calibri" w:hAnsi="Calibri"/>
                <w:sz w:val="20"/>
                <w:szCs w:val="20"/>
              </w:rPr>
              <w:t>eliminującego efekt powiększenia i zniekształcenia obiektów leżących poza osią stołu. Wymagana wiązka wachlarzowa.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Technologia z użyciem promieniowania w wąskiej wiązce wachlarzowej  - 20 pkt.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Inna technologia lub szeroka wiązka wachlarzowa - 0 pk</w:t>
            </w:r>
            <w:r>
              <w:rPr>
                <w:rFonts w:ascii="Calibri" w:hAnsi="Calibri"/>
                <w:sz w:val="20"/>
                <w:szCs w:val="20"/>
              </w:rPr>
              <w:t xml:space="preserve">t.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Promieniowanie rozproszone w odległości 1 m od aparatu - maksymalnie 10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μSv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Maksymalna dawka promieniowania dla pacjenta: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kręgosłupa AP – 0,150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mGy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szyjka kości udowej – 0,150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mGy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całe </w:t>
            </w:r>
            <w:r>
              <w:rPr>
                <w:rFonts w:ascii="Calibri" w:hAnsi="Calibri"/>
                <w:sz w:val="20"/>
                <w:szCs w:val="20"/>
              </w:rPr>
              <w:t xml:space="preserve">ciało/skład ciała – 0,005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mGy</w:t>
            </w:r>
            <w:proofErr w:type="spellEnd"/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Maksymalne czasy skanowania dla standardowego pacjenta w poszczególnych lokalizacji: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kręgosłup AP – 30 s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szyjka kości udowej – 30 s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całe ciało/skład ciała – 5 min.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</w:t>
            </w:r>
            <w:r>
              <w:rPr>
                <w:rFonts w:ascii="Calibri" w:hAnsi="Calibri"/>
                <w:sz w:val="20"/>
                <w:szCs w:val="20"/>
              </w:rPr>
              <w:t xml:space="preserve">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Technologia detektora cyfrowego: detektor działający na zasadzie bezpośredniej przemiany energii promieniowania jonizującego na sygnał elektryczny. Opisać budowę i zasadę działania proponowanego detektora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Detektor z </w:t>
            </w:r>
            <w:r>
              <w:rPr>
                <w:rFonts w:ascii="Calibri" w:hAnsi="Calibri"/>
                <w:sz w:val="20"/>
                <w:szCs w:val="20"/>
              </w:rPr>
              <w:t xml:space="preserve">bezpośrednią przemianą energii promieniowania jonizującego na sygnał elektryczny (bez przemiany scyntylacyjnej) - 20 pkt.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Detektor z przemianą scyntylacyjną - 0 pkt.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Detektor cyfrowy minimum 64-elementowy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Budowa </w:t>
            </w:r>
            <w:r>
              <w:rPr>
                <w:rFonts w:ascii="Calibri" w:hAnsi="Calibri"/>
                <w:sz w:val="20"/>
                <w:szCs w:val="20"/>
              </w:rPr>
              <w:t xml:space="preserve">detektora eliminująca „martwe obszary pomiędzy elementami detektora”. Opisać budowę i zasadę działania proponowanego detektora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Tak/Nie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– 5 pkt.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Nie – 0 pkt.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r>
              <w:rPr>
                <w:rFonts w:ascii="Calibri" w:hAnsi="Calibri"/>
                <w:sz w:val="20"/>
                <w:szCs w:val="20"/>
              </w:rPr>
              <w:t xml:space="preserve">Technologia generowania podwójnej energii (Filtr umożliwiający </w:t>
            </w:r>
            <w:r>
              <w:rPr>
                <w:rFonts w:ascii="Calibri" w:hAnsi="Calibri"/>
                <w:sz w:val="20"/>
                <w:szCs w:val="20"/>
              </w:rPr>
              <w:t xml:space="preserve">jednoczasowe powstawanie dwóch wiązek energii lub generator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dwuenergetyczny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generujący energię wysoką i niską poprzez wysokie i niskie napięcie na lampie).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pisać rodzaj technologii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Filtr umożliwiający jednoczasowe powstawanie dwóch wiązek - 10 pkt.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Generator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dwuenergetyczny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generujący energię wysoką i niską - 0 pkt.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Obszar skanowania min. 195cm na 65cm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IV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Właściwości kliniczne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r>
              <w:rPr>
                <w:rFonts w:ascii="Calibri" w:hAnsi="Calibri"/>
                <w:sz w:val="20"/>
                <w:szCs w:val="20"/>
              </w:rPr>
              <w:t>Badanie bliższego końca kości udowej 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Biodro</w:t>
            </w:r>
            <w:r>
              <w:rPr>
                <w:rFonts w:ascii="Calibri" w:hAnsi="Calibri"/>
                <w:sz w:val="20"/>
                <w:szCs w:val="20"/>
              </w:rPr>
              <w:t xml:space="preserve">):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>
              <w:rPr>
                <w:rFonts w:ascii="Calibri" w:hAnsi="Calibri"/>
                <w:sz w:val="20"/>
                <w:szCs w:val="20"/>
              </w:rPr>
              <w:t xml:space="preserve">powierzchnia dla krętarza, trzonu kości udowej, szyjki kości udowej, oddzielnie dla górnej części szyjki kości udowej oraz dla „Total”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wskaźnik T-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zmiana procentowa w stosunku do masy szczytowej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g) zmiana </w:t>
            </w:r>
            <w:r>
              <w:rPr>
                <w:rFonts w:ascii="Calibri" w:hAnsi="Calibri"/>
                <w:sz w:val="20"/>
                <w:szCs w:val="20"/>
              </w:rPr>
              <w:t>procentowa w stosunku do grupy równowiekowej  RÓWIEŚNIKÓW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h) długość osi stawu biodrowego (HAL)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i) pomiar momentu bezwładności przekroju poprzecznego szyjki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j) współczynnik wytrzymałości kości biodrowej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k) pomiar grubości kości korowej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l) </w:t>
            </w:r>
            <w:r>
              <w:rPr>
                <w:rFonts w:ascii="Calibri" w:hAnsi="Calibri"/>
                <w:sz w:val="20"/>
                <w:szCs w:val="20"/>
              </w:rPr>
              <w:t xml:space="preserve">kolorowe mapowanie kości z możliwością zmiany granic gęstości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m) automatyczne odniesienie wyniku do klasyfikacji WHO  i wyświetlenie wyniku.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r>
              <w:rPr>
                <w:rFonts w:ascii="Calibri" w:hAnsi="Calibri"/>
                <w:sz w:val="20"/>
                <w:szCs w:val="20"/>
              </w:rPr>
              <w:t xml:space="preserve">Badanie obu szyjek kości udowych (opcja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Dual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femur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>
              <w:rPr>
                <w:rFonts w:ascii="Calibri" w:hAnsi="Calibri"/>
                <w:sz w:val="20"/>
                <w:szCs w:val="20"/>
              </w:rPr>
              <w:t xml:space="preserve">powierzchnia dla krętarza, trzonu kości udowej, szyjki kości udowej, górnej części szyjki kości udowej oraz dla „Total”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wskaźnik T-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zmiana procentowa w stosunku do masy szczytowej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g) zmiana procentowa w stosunku do grupy ró</w:t>
            </w:r>
            <w:r>
              <w:rPr>
                <w:rFonts w:ascii="Calibri" w:hAnsi="Calibri"/>
                <w:sz w:val="20"/>
                <w:szCs w:val="20"/>
              </w:rPr>
              <w:t>wnowiekowej RÓWIEŚNIKÓW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h) długość osi stawu biodrowego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i) podwójne biodro bez zmiany ułożenia pacjenta w czasie jednego badania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j) raport różnic między szyjkami kości udowych i wartości średnie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k)prezentacja wyniku pomiaru dla dwóch szyjek kości udowej</w:t>
            </w:r>
            <w:r>
              <w:rPr>
                <w:rFonts w:ascii="Calibri" w:hAnsi="Calibri"/>
                <w:sz w:val="20"/>
                <w:szCs w:val="20"/>
              </w:rPr>
              <w:t xml:space="preserve"> jednocześnie.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Badanie kręgosłupa lędźwiowego w projekcji AP: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oraz powierzchnia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wskaźnik T-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zmiana procentowa w stosunku do masy szczytowej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zmiana procentowa w </w:t>
            </w:r>
            <w:r>
              <w:rPr>
                <w:rFonts w:ascii="Calibri" w:hAnsi="Calibri"/>
                <w:sz w:val="20"/>
                <w:szCs w:val="20"/>
              </w:rPr>
              <w:t>stosunku do grupy rówieśników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g) automatyczne odniesienie wyników do klasyfikacji WHO i wyświetlenie wyniku.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Pełna opcja pediatryczna: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BADANIE OBSZARU SZYJKI KOŚCI UDOWEJ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powierzchnia szyjki oraz </w:t>
            </w:r>
            <w:r>
              <w:rPr>
                <w:rFonts w:ascii="Calibri" w:hAnsi="Calibri"/>
                <w:sz w:val="20"/>
                <w:szCs w:val="20"/>
              </w:rPr>
              <w:t xml:space="preserve">dla „Total”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d)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e) zmiana procentowa w stosunku do grupy rówieśników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długość osi stawu biodrowego (HAL) </w:t>
            </w:r>
          </w:p>
          <w:p w:rsidR="00116659" w:rsidRDefault="004502C8">
            <w:r>
              <w:rPr>
                <w:rFonts w:ascii="Calibri" w:hAnsi="Calibri"/>
                <w:sz w:val="20"/>
                <w:szCs w:val="20"/>
              </w:rPr>
              <w:t xml:space="preserve"> 2. BADANIE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Dual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femur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– badanie jednoczesne obu bioder u pacjentów pediatrycznych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3.BADANIE kręgosłupa lędźwiowego w projekcji AP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c) powierzchnia kręgów, wysokość i szerokość kręgów od L1 do L4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e)dane referencyjne oddzielnie dla 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chłopcow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dziewcząt umożliwiające porównanie wyniku wykonanego pomiaru z normą.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4) BADANIE  całego ciała z opcją po</w:t>
            </w:r>
            <w:r>
              <w:rPr>
                <w:rFonts w:ascii="Calibri" w:hAnsi="Calibri"/>
                <w:sz w:val="20"/>
                <w:szCs w:val="20"/>
              </w:rPr>
              <w:t>miaru BMC, BMD, tkanki tłuszczowej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Fat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Mass), tkanki beztłuszczowej (Lean Body Mass) –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wyniki wyrażone w gramach oraz wartość w % w całym ciele/szkielecie oraz wartości regionalne tych parametrów (regionalne BMC, BMD, tkanka tłuszczowa, tkanka beztłuszcz</w:t>
            </w:r>
            <w:r>
              <w:rPr>
                <w:rFonts w:ascii="Calibri" w:hAnsi="Calibri"/>
                <w:sz w:val="20"/>
                <w:szCs w:val="20"/>
              </w:rPr>
              <w:t>owa) z danymi referencyjnymi  oddzielnie dla dziewcząt i chłopców dane referencyjne oddzielnie dla  chłopców i dziewcząt umożliwiające porównanie wyniku wykonanego pomiaru z normą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Oprogramowanie najaktualniejszej pediatrycznej referencyjnej bazy danych z o</w:t>
            </w:r>
            <w:r>
              <w:rPr>
                <w:rFonts w:ascii="Calibri" w:hAnsi="Calibri"/>
                <w:sz w:val="20"/>
                <w:szCs w:val="20"/>
              </w:rPr>
              <w:t>pcją bezpłatnej aktualizacji przez okres min. 10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Badanie kręgosłupa bocznego z użyciem podwójnej energii (DXA) zawierająca między innymi: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kręgosłupa bocznego wraz z geometrią kręgosłupa (kąt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Cobb’a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Cały </w:t>
            </w:r>
            <w:r>
              <w:rPr>
                <w:rFonts w:ascii="Calibri" w:hAnsi="Calibri"/>
                <w:sz w:val="20"/>
                <w:szCs w:val="20"/>
              </w:rPr>
              <w:t xml:space="preserve">kręgosłup w projekcji AP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Cały kręgosłup boczny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Analizy obszarów: Kręgosłup i Biodro o niskiej gęstości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Badanie przedramienia w pozycji siedzącej i leżącej.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BMD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BMC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>
              <w:rPr>
                <w:rFonts w:ascii="Calibri" w:hAnsi="Calibri"/>
                <w:sz w:val="20"/>
                <w:szCs w:val="20"/>
              </w:rPr>
              <w:t xml:space="preserve">powierzchnia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d) wskaźnik T-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e) wskaźnik Z-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Score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f) zmiana procentowa w stosunku do masy szczytowej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g) zmiana procentowa w stosunku do grupy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rówieśnikow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h) automatyczne odniesienie wyniku do klasyfikacji WHO  i wyświetlenie wyniku.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</w:t>
            </w:r>
            <w:r>
              <w:rPr>
                <w:rFonts w:ascii="Calibri" w:hAnsi="Calibri"/>
                <w:sz w:val="20"/>
                <w:szCs w:val="20"/>
              </w:rPr>
              <w:t xml:space="preserve">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Pomiar i analiza ortopedyczna zawierająca ocenę implantu stawu biodrowego (standardowe oraz rozszerzone strefy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Gruena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Obliczanie indywidualnego 10-letniego ryzyka złamania na podstawie algorytmu FRAX wg </w:t>
            </w:r>
            <w:r>
              <w:rPr>
                <w:rFonts w:ascii="Calibri" w:hAnsi="Calibri"/>
                <w:sz w:val="20"/>
                <w:szCs w:val="20"/>
              </w:rPr>
              <w:t xml:space="preserve">wytycznych WHO, z zastosowaniem metody Johna A.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Kanisa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Badanie składu ciała: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Badanie całego ciała w celu oceny ilościowej i procentowej rozmieszczenia tkanki kostnej, mięśniowej i tłuszczowej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Badanie całego ciała </w:t>
            </w:r>
            <w:r>
              <w:rPr>
                <w:rFonts w:ascii="Calibri" w:hAnsi="Calibri"/>
                <w:sz w:val="20"/>
                <w:szCs w:val="20"/>
              </w:rPr>
              <w:t xml:space="preserve">oraz poszczególnych części ciała – kończyny (strona lewa i prawa oddzielnie), tułów, obszarów Android,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Gynoid</w:t>
            </w:r>
            <w:proofErr w:type="spellEnd"/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Automatyczna kalkulacja BMI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d) Wykres referencyjny WHO do oceny tkanki tłuszczowej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e) Kolorowe kodowanie tkanki tłuszczowej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f) Pomiar zawart</w:t>
            </w:r>
            <w:r>
              <w:rPr>
                <w:rFonts w:ascii="Calibri" w:hAnsi="Calibri"/>
                <w:sz w:val="20"/>
                <w:szCs w:val="20"/>
              </w:rPr>
              <w:t xml:space="preserve">ości tkanki tłuszczowej trzewnej (objętość i masa) – wyniki przetwarzane wraz z analizą całkowitego składu ciała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g) Monitorowanie zmian/trendów tłuszczu trzewnego w odstępach czasu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h) Zapis i wydruki trendów tłuszczu całkowitego, zawartości procentowej t</w:t>
            </w:r>
            <w:r>
              <w:rPr>
                <w:rFonts w:ascii="Calibri" w:hAnsi="Calibri"/>
                <w:sz w:val="20"/>
                <w:szCs w:val="20"/>
              </w:rPr>
              <w:t xml:space="preserve">łuszczu, tkanki beztłuszczowej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oraz regionalnej zawartości tkanek miękkich (tłuszczowej i beztłuszczowej)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i) Dostęp do referencyjnych baz danych dla składu ciała dla dorosłych i dla dzieci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Badanie składu ciała: </w:t>
            </w:r>
            <w:r>
              <w:rPr>
                <w:rFonts w:ascii="Calibri" w:hAnsi="Calibri"/>
                <w:sz w:val="20"/>
                <w:szCs w:val="20"/>
              </w:rPr>
              <w:t>kolorowe mapowanie tkanki tłuszczowej z możliwością zmian granic procentowej zawartości tkanki.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– 10 pkt.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– 0 pkt.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Badanie składu ciała: współczynnik RMR (spoczynkowa przemiana metaboliczna) oraz RSMI (względny indeks </w:t>
            </w:r>
            <w:r>
              <w:rPr>
                <w:rFonts w:ascii="Calibri" w:hAnsi="Calibri"/>
                <w:sz w:val="20"/>
                <w:szCs w:val="20"/>
              </w:rPr>
              <w:t>szkieletowo-mięśniowy)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 – 10 pkt.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– 0 pkt.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Ocena kręgów z morfometrią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14.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TBS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TrabecularBoneScore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 wraz z fantomem do kalibracji I opcją DICOM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Oprogramowanie pozwalające na </w:t>
            </w:r>
            <w:r>
              <w:rPr>
                <w:rFonts w:ascii="Calibri" w:hAnsi="Calibri"/>
                <w:sz w:val="20"/>
                <w:szCs w:val="20"/>
              </w:rPr>
              <w:t>10-sekundowe skanowanie kręgosłupa w odcinku lędźwiowym lub kości udowej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16.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Oprogramowanie pozwalające  na wykonanie badania kręgosłupa w projekcji AP oraz obu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kości udowych bez zmiany pozycji pomiędzy kolejnymi </w:t>
            </w:r>
            <w:r>
              <w:rPr>
                <w:rFonts w:ascii="Calibri" w:hAnsi="Calibri"/>
                <w:sz w:val="20"/>
                <w:szCs w:val="20"/>
              </w:rPr>
              <w:t>skanowaniami.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Ocena utraty masy mięśniowej wraz z wiekiem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Sarcopienia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 – 10 pkt.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– 0 pkt.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Pomiary bocznej warstwy korowej wzdłuż trzonu kości udowej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 – 10 pkt.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Nie – 0 pkt.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</w:t>
            </w:r>
            <w:r>
              <w:rPr>
                <w:rFonts w:ascii="Calibri" w:hAnsi="Calibri"/>
                <w:sz w:val="20"/>
                <w:szCs w:val="20"/>
              </w:rPr>
              <w:t xml:space="preserve">funkcje i wymagania </w:t>
            </w:r>
          </w:p>
        </w:tc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" w:type="dxa"/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Automatyczne obliczanie LSC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leastsignificantchange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) dla aparatu/pracowni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System kalibracji urządzenia: kalibracja mechaniczna, elektroniczna. Technologia z użyciem min. 3-punktowej </w:t>
            </w:r>
            <w:r>
              <w:rPr>
                <w:rFonts w:ascii="Calibri" w:hAnsi="Calibri"/>
                <w:sz w:val="20"/>
                <w:szCs w:val="20"/>
              </w:rPr>
              <w:t>kalibracji dla tkanki tłuszczowej oraz 3-punktowej dla tkanek twardych na kalibracyjnym fantomie zewnętrznym (nie na fantomie do kontroli jakości jak fantom antropomorficzny lub aluminiowy kręgosłupa). Alternatywne rozwiązanie (opisać).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Do oferty załączyć </w:t>
            </w:r>
            <w:r>
              <w:rPr>
                <w:rFonts w:ascii="Calibri" w:hAnsi="Calibri"/>
                <w:sz w:val="20"/>
                <w:szCs w:val="20"/>
              </w:rPr>
              <w:t xml:space="preserve">wydruk z wynikami powyższych kalibracji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Technologia z użyciem min. 3-punktowej kalibracji dla tkanek miękkich oraz 3-punktowej dla tkanek twardych na kalibracyjnym fantomie zewnętrznym - 5 pkt.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rozwiązanie - 0 pkt.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Komplet </w:t>
            </w:r>
            <w:r>
              <w:rPr>
                <w:rFonts w:ascii="Calibri" w:hAnsi="Calibri"/>
                <w:sz w:val="20"/>
                <w:szCs w:val="20"/>
              </w:rPr>
              <w:t xml:space="preserve">fantomów wg zaleceń producenta, min. zewnętrzny fantom odcinka lędźwiowego kręgosłupa do kontroli jakości (fantom aluminiowy lub antropomorficzny kręgosłupa) bez płaszcza wodnego (zatopiony w tworzywie sztucznym)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Tak, opisać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Maksymalna waga  pacjenta dopuszczalna przez oprogramowanie aparatu min. 180kg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minimum 180 kg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DICOM interfejs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Tak, pełna funkcjonalność z konfiguracją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HL7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Opcja </w:t>
            </w:r>
            <w:r>
              <w:rPr>
                <w:rFonts w:ascii="Calibri" w:hAnsi="Calibri"/>
                <w:sz w:val="20"/>
                <w:szCs w:val="20"/>
              </w:rPr>
              <w:t xml:space="preserve">wydruków raportów szczegółowych: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a) Dodatkowe raporty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Kompletna ocena skanu pacjenta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c) Automatyczna interpretacja wyników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Możliwość tworzenia dowolnej liczby baz danych z przydzieleniem nazw każdej z nich </w:t>
            </w:r>
            <w:r>
              <w:rPr>
                <w:rFonts w:ascii="Calibri" w:hAnsi="Calibri"/>
                <w:sz w:val="20"/>
                <w:szCs w:val="20"/>
              </w:rPr>
              <w:t xml:space="preserve">(nazwisko użytkownika, rozpoznanie itp.)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oferty załączyć przykładowe wydruki ekranu z listą baz danych (4-5 baz o dowolnych nazwach)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Oprogramowanie (ze stałą, nieograniczoną czasowo licencją) do współpracy </w:t>
            </w:r>
            <w:r>
              <w:rPr>
                <w:rFonts w:ascii="Calibri" w:hAnsi="Calibri"/>
                <w:sz w:val="20"/>
                <w:szCs w:val="20"/>
              </w:rPr>
              <w:t xml:space="preserve">densytometru wraz z zestawem komputerowym i drukarką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Referencyjne bazy danych producenta aparatu dla wszystkich miejsc pomiarowych: NHANES i etniczna referencyjna baza danych (kobiety + mężczyźni) zgodnie z </w:t>
            </w:r>
            <w:r>
              <w:rPr>
                <w:rFonts w:ascii="Calibri" w:hAnsi="Calibri"/>
                <w:sz w:val="20"/>
                <w:szCs w:val="20"/>
              </w:rPr>
              <w:t>wytycznymi WHO; ze stałą opcją bezpłatnej aktualizacji w przez okres min. 10 lat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Komputer stacji roboczej klasy PC (Windows 7 lub równoważny, spełniający następujące wymagania :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- Pełna integracja z domeną AD w zakresie </w:t>
            </w:r>
            <w:r>
              <w:rPr>
                <w:rFonts w:ascii="Calibri" w:hAnsi="Calibri"/>
                <w:sz w:val="20"/>
                <w:szCs w:val="20"/>
              </w:rPr>
              <w:t>autoryzacji w środowisku Zamawiającego;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- Zarządzanie komputerami poprzez Zasady Grup (GPO);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- Zainstalowany system operacyjny nie wymagający aktywacji za pomocą telefonu lub Internetu),procesor 64 bit z macierzą dyskową RAID01 oraz archiwizacja na dyskach</w:t>
            </w:r>
            <w:r>
              <w:rPr>
                <w:rFonts w:ascii="Calibri" w:hAnsi="Calibri"/>
                <w:sz w:val="20"/>
                <w:szCs w:val="20"/>
              </w:rPr>
              <w:t xml:space="preserve"> macierzy zewnętrznej o parametrach zapewniających współpracę z densytometrem i oprogramowaniem densytometru, monitor min 21’ , drukarka laserowa kolor z podwójnym zestawem tuszy, biurko, fotel.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Zestaw akcesoriów wg </w:t>
            </w:r>
            <w:r>
              <w:rPr>
                <w:rFonts w:ascii="Calibri" w:hAnsi="Calibri"/>
                <w:sz w:val="20"/>
                <w:szCs w:val="20"/>
              </w:rPr>
              <w:t>zaleceń producenta do badania obszarów: pozycjoner do pomiaru kręgosłupa AP – 2 szt., pozycjoner do pomiaru biodra z implantem (opcja ortopedyczna), pozycjoner do pomiaru kręgosłupa w pozycji bocznej, podstawka pod kolano, pozycjoner do pomiaru dwóch kości</w:t>
            </w:r>
            <w:r>
              <w:rPr>
                <w:rFonts w:ascii="Calibri" w:hAnsi="Calibri"/>
                <w:sz w:val="20"/>
                <w:szCs w:val="20"/>
              </w:rPr>
              <w:t xml:space="preserve"> udowych, pozycjoner do pomiaru przedramienia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punktacji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Możliwość integracji z systemem szpitalnym.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punktacji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Warunki instalacyjne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Wykonanie projektu ochrony radiologicznej oraz spełnienie niezbędnych wymogów i </w:t>
            </w:r>
            <w:r>
              <w:rPr>
                <w:rFonts w:ascii="Calibri" w:hAnsi="Calibri"/>
                <w:sz w:val="20"/>
                <w:szCs w:val="20"/>
              </w:rPr>
              <w:t>uzyskanie przez Wykonawcę decyzji na dopuszczenie aparatu do użytkowania.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oceny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Wykonanie testów akceptacyjnych po zainstalowaniu urządzenia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VII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Pozostałe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Zagwarantowanie dostępności części przez 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minimum 10 lat od dostawy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Instrukcja w języku polskim (dostawa z urządzeniem) w formie papierowej i elektronicznej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Oprogramowanie aplikacyjne na ekranie komputera w języku polskim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Tak/Nie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oceny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Szkolenie personelu z zakresu obsługi aparatu oraz procedur wykonywania badań  przeprowadzone przez aplikanta oraz osobę wykonującą badania na oferowanym aparacie min. 4 dni.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 okresie gwarancji w ramach zaoferowanej ceny </w:t>
            </w:r>
            <w:r>
              <w:rPr>
                <w:rFonts w:ascii="Calibri" w:hAnsi="Calibri"/>
                <w:sz w:val="20"/>
                <w:szCs w:val="20"/>
              </w:rPr>
              <w:t>Wykonawca przeprowadzi przeglądy przedmiotu zamówienia w ilości i zakresie zgodnym z wymogami określonymi w dokumentacji technicznej producenta. Ostatni przegląd w ostatnim miesiącu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Czas reakcji na zgłoszenie awarii – </w:t>
            </w:r>
            <w:r>
              <w:rPr>
                <w:rFonts w:ascii="Calibri" w:hAnsi="Calibri"/>
                <w:sz w:val="20"/>
                <w:szCs w:val="20"/>
              </w:rPr>
              <w:t xml:space="preserve">do 24 godz. (w dni robocze), czas usunięcia zgłoszonych usterek i wykonania napraw maks. 5 dni roboczych, czas wykonania napraw, w przypadku konieczności importu części zamiennych lub podzespołów maks. 14 dni roboczych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8. </w:t>
            </w:r>
          </w:p>
          <w:p w:rsidR="00116659" w:rsidRDefault="001166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Przedłużenie okresu gwarancji następuje o pełny okres niesprawności dostarczonego przedmiotu zamówienia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Bez oceny 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Waga ze wzrostomierzem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oceny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Pakiet biurowy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oceny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  <w:tr w:rsidR="00116659">
        <w:tblPrEx>
          <w:tblCellMar>
            <w:top w:w="0" w:type="dxa"/>
            <w:bottom w:w="0" w:type="dxa"/>
          </w:tblCellMar>
        </w:tblPrEx>
        <w:trPr>
          <w:trHeight w:val="1746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Przeniesienie bazy danych z </w:t>
            </w:r>
            <w:r>
              <w:rPr>
                <w:rFonts w:ascii="Calibri" w:hAnsi="Calibri"/>
                <w:sz w:val="20"/>
                <w:szCs w:val="20"/>
              </w:rPr>
              <w:t xml:space="preserve">dotychczas eksploatowanego aparatu na oferowany przez Wykonawcę.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Tak,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4502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Bez oceny</w:t>
            </w:r>
          </w:p>
        </w:tc>
        <w:tc>
          <w:tcPr>
            <w:tcW w:w="4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659" w:rsidRDefault="00116659">
            <w:pPr>
              <w:rPr>
                <w:rFonts w:ascii="Calibri" w:hAnsi="Calibri"/>
                <w:sz w:val="20"/>
                <w:szCs w:val="20"/>
                <w:shd w:val="clear" w:color="auto" w:fill="FFFF00"/>
              </w:rPr>
            </w:pPr>
          </w:p>
        </w:tc>
      </w:tr>
    </w:tbl>
    <w:p w:rsidR="00116659" w:rsidRDefault="004502C8">
      <w:pPr>
        <w:jc w:val="both"/>
        <w:rPr>
          <w:b/>
          <w:color w:val="000000"/>
        </w:rPr>
      </w:pPr>
      <w:r>
        <w:rPr>
          <w:b/>
          <w:color w:val="000000"/>
        </w:rPr>
        <w:t>Oświadczamy, że oferowane powyżej wyspecyfikowane urządzenia są kompletne i będą po uruchomieniu gotowe do pracy bez żadnych dodatkowych zakupów i inwestycji (poza materiał</w:t>
      </w:r>
      <w:r>
        <w:rPr>
          <w:b/>
          <w:color w:val="000000"/>
        </w:rPr>
        <w:t xml:space="preserve">ami eksploatacyjnymi). </w:t>
      </w:r>
    </w:p>
    <w:p w:rsidR="00116659" w:rsidRDefault="004502C8">
      <w:pPr>
        <w:jc w:val="both"/>
        <w:rPr>
          <w:b/>
          <w:color w:val="000000"/>
        </w:rPr>
      </w:pPr>
      <w:r>
        <w:rPr>
          <w:b/>
          <w:color w:val="000000"/>
        </w:rPr>
        <w:t>Oferowane urządzenia, oprócz spełniania odpowiednich parametrów funkcjonalnych, gwarantują bezpieczeństwo pacjentów i personelu medycznego oraz zapewniają wymagany poziom świadczonych usług medycznych.</w:t>
      </w:r>
    </w:p>
    <w:p w:rsidR="00116659" w:rsidRDefault="00116659">
      <w:pPr>
        <w:jc w:val="both"/>
      </w:pPr>
    </w:p>
    <w:p w:rsidR="00116659" w:rsidRDefault="004502C8">
      <w:pPr>
        <w:jc w:val="both"/>
      </w:pPr>
      <w:r>
        <w:rPr>
          <w:sz w:val="20"/>
          <w:szCs w:val="20"/>
        </w:rPr>
        <w:t xml:space="preserve">......................., dnia ........................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</w:t>
      </w:r>
    </w:p>
    <w:p w:rsidR="00116659" w:rsidRDefault="004502C8">
      <w:pPr>
        <w:pStyle w:val="Tekstprzypisudolnego"/>
        <w:jc w:val="right"/>
      </w:pPr>
      <w:r>
        <w:rPr>
          <w:i/>
        </w:rPr>
        <w:t>Podpisy przedstawicieli Wykonawcy</w:t>
      </w:r>
    </w:p>
    <w:p w:rsidR="00116659" w:rsidRDefault="004502C8">
      <w:pPr>
        <w:jc w:val="right"/>
      </w:pPr>
      <w:r>
        <w:rPr>
          <w:bCs/>
          <w:i/>
          <w:sz w:val="20"/>
          <w:szCs w:val="20"/>
        </w:rPr>
        <w:lastRenderedPageBreak/>
        <w:t xml:space="preserve"> upoważnionych do jego reprezentowania </w:t>
      </w:r>
    </w:p>
    <w:p w:rsidR="00116659" w:rsidRDefault="00116659"/>
    <w:sectPr w:rsidR="0011665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2C8" w:rsidRDefault="004502C8">
      <w:r>
        <w:separator/>
      </w:r>
    </w:p>
  </w:endnote>
  <w:endnote w:type="continuationSeparator" w:id="0">
    <w:p w:rsidR="004502C8" w:rsidRDefault="004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2C8" w:rsidRDefault="004502C8">
      <w:r>
        <w:rPr>
          <w:color w:val="000000"/>
        </w:rPr>
        <w:separator/>
      </w:r>
    </w:p>
  </w:footnote>
  <w:footnote w:type="continuationSeparator" w:id="0">
    <w:p w:rsidR="004502C8" w:rsidRDefault="004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CE8"/>
    <w:multiLevelType w:val="multilevel"/>
    <w:tmpl w:val="C8DAC994"/>
    <w:styleLink w:val="WWOutlineListStyle"/>
    <w:lvl w:ilvl="0">
      <w:start w:val="1"/>
      <w:numFmt w:val="decimal"/>
      <w:lvlText w:val="%1."/>
      <w:lvlJc w:val="left"/>
      <w:pPr>
        <w:ind w:left="850" w:hanging="850"/>
      </w:pPr>
      <w:rPr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10845E6"/>
    <w:multiLevelType w:val="multilevel"/>
    <w:tmpl w:val="73B0CBCE"/>
    <w:styleLink w:val="WWOutlineListStyle1"/>
    <w:lvl w:ilvl="0">
      <w:start w:val="1"/>
      <w:numFmt w:val="decimal"/>
      <w:pStyle w:val="Nagwek1"/>
      <w:lvlText w:val="%1."/>
      <w:lvlJc w:val="left"/>
      <w:pPr>
        <w:ind w:left="850" w:hanging="850"/>
      </w:pPr>
      <w:rPr>
        <w:b w:val="0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57C76F8"/>
    <w:multiLevelType w:val="multilevel"/>
    <w:tmpl w:val="A3D23288"/>
    <w:styleLink w:val="LFO1"/>
    <w:lvl w:ilvl="0">
      <w:start w:val="1"/>
      <w:numFmt w:val="decimal"/>
      <w:pStyle w:val="NumPar4"/>
      <w:lvlText w:val="%1."/>
      <w:lvlJc w:val="left"/>
      <w:pPr>
        <w:ind w:left="850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6659"/>
    <w:rsid w:val="00116659"/>
    <w:rsid w:val="004502C8"/>
    <w:rsid w:val="007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5C42-8074-4AB1-85B1-561BE60D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Tekstpodstawowy"/>
    <w:pPr>
      <w:keepNext/>
      <w:pBdr>
        <w:bottom w:val="single" w:sz="4" w:space="1" w:color="00000A"/>
      </w:pBdr>
      <w:tabs>
        <w:tab w:val="left" w:pos="1296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">
    <w:name w:val="WW_OutlineListStyle_1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Lucida Sans Unicode" w:hAnsi="Arial" w:cs="Arial"/>
      <w:b/>
      <w:bCs/>
      <w:kern w:val="3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Lucida Sans Unicode" w:hAnsi="Times New Roman" w:cs="Tahoma"/>
      <w:b/>
      <w:bCs/>
      <w:i/>
      <w:iCs/>
      <w:kern w:val="3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rPr>
      <w:rFonts w:ascii="Tahoma" w:eastAsia="Lucida Sans Unicode" w:hAnsi="Tahoma" w:cs="Tahoma"/>
      <w:b/>
      <w:kern w:val="3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Lucida Sans Unicode" w:hAnsi="Times New Roman" w:cs="Tahoma"/>
      <w:i/>
      <w:iCs/>
      <w:kern w:val="3"/>
      <w:sz w:val="24"/>
      <w:szCs w:val="24"/>
      <w:lang w:eastAsia="pl-P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 w:cs="Tahoma"/>
      <w:kern w:val="3"/>
      <w:sz w:val="24"/>
      <w:szCs w:val="24"/>
      <w:lang w:val="en-US"/>
    </w:r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rPr>
      <w:rFonts w:ascii="Arial" w:eastAsia="Lucida Sans Unicode" w:hAnsi="Arial" w:cs="Tahoma"/>
      <w:b/>
      <w:bCs/>
      <w:kern w:val="3"/>
      <w:szCs w:val="20"/>
      <w:lang w:eastAsia="pl-PL"/>
    </w:rPr>
  </w:style>
  <w:style w:type="paragraph" w:customStyle="1" w:styleId="Tekstprzypisudolnego1">
    <w:name w:val="Tekst przypisu dolnego1"/>
    <w:basedOn w:val="Normalny"/>
    <w:rPr>
      <w:rFonts w:ascii="Tahoma" w:hAnsi="Tahoma"/>
      <w:sz w:val="20"/>
      <w:szCs w:val="20"/>
    </w:rPr>
  </w:style>
  <w:style w:type="paragraph" w:customStyle="1" w:styleId="NumPar2">
    <w:name w:val="NumPar 2"/>
    <w:basedOn w:val="Normalny"/>
    <w:pPr>
      <w:spacing w:before="120" w:after="120"/>
      <w:jc w:val="both"/>
      <w:outlineLvl w:val="1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pPr>
      <w:spacing w:before="120" w:after="120"/>
      <w:jc w:val="both"/>
      <w:outlineLvl w:val="2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pPr>
      <w:numPr>
        <w:numId w:val="3"/>
      </w:numPr>
      <w:spacing w:before="120" w:after="120"/>
      <w:jc w:val="both"/>
      <w:outlineLvl w:val="3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rPr>
      <w:rFonts w:eastAsia="Times New Roman"/>
      <w:color w:val="5A5A5A"/>
      <w:spacing w:val="15"/>
      <w:kern w:val="3"/>
      <w:lang w:eastAsia="pl-PL"/>
    </w:rPr>
  </w:style>
  <w:style w:type="numbering" w:customStyle="1" w:styleId="WWOutlineListStyle">
    <w:name w:val="WW_OutlineListStyle"/>
    <w:basedOn w:val="Bezlisty"/>
    <w:pPr>
      <w:numPr>
        <w:numId w:val="2"/>
      </w:numPr>
    </w:pPr>
  </w:style>
  <w:style w:type="numbering" w:customStyle="1" w:styleId="LFO1">
    <w:name w:val="LFO1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 Szpital Specjalistyczny MSS</dc:creator>
  <dc:description/>
  <cp:lastModifiedBy>Mazowiecki Szpital Specjalistyczny MSS</cp:lastModifiedBy>
  <cp:revision>2</cp:revision>
  <dcterms:created xsi:type="dcterms:W3CDTF">2018-09-11T12:06:00Z</dcterms:created>
  <dcterms:modified xsi:type="dcterms:W3CDTF">2018-09-11T12:06:00Z</dcterms:modified>
</cp:coreProperties>
</file>