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65A84D" w14:textId="475103F3" w:rsidR="00D84BAE" w:rsidRDefault="00511A4E" w:rsidP="00511A4E">
      <w:pPr>
        <w:spacing w:after="160" w:line="259" w:lineRule="auto"/>
        <w:ind w:left="720" w:hanging="360"/>
        <w:jc w:val="right"/>
      </w:pPr>
      <w:r>
        <w:t xml:space="preserve">Załącznik nr 1 do ogłoszenia – parametry techniczne </w:t>
      </w: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087FE76E" w14:textId="27F6E898" w:rsidR="0044151E" w:rsidRPr="001521C3" w:rsidRDefault="0021333C" w:rsidP="0021333C">
      <w:pPr>
        <w:rPr>
          <w:rFonts w:cs="Times New Roman"/>
          <w:sz w:val="28"/>
          <w:szCs w:val="28"/>
        </w:rPr>
      </w:pPr>
      <w:bookmarkStart w:id="0" w:name="_Hlk46999420"/>
      <w:r w:rsidRPr="001521C3">
        <w:rPr>
          <w:rFonts w:cs="Times New Roman"/>
          <w:b/>
          <w:bCs/>
          <w:sz w:val="28"/>
          <w:szCs w:val="28"/>
        </w:rPr>
        <w:t>Część 1</w:t>
      </w:r>
      <w:r w:rsidRPr="001521C3">
        <w:rPr>
          <w:rFonts w:cs="Times New Roman"/>
          <w:sz w:val="28"/>
          <w:szCs w:val="28"/>
        </w:rPr>
        <w:t xml:space="preserve">  </w:t>
      </w:r>
    </w:p>
    <w:p w14:paraId="422E6812" w14:textId="77777777" w:rsidR="00BB220F" w:rsidRDefault="00BB220F" w:rsidP="00040BB5">
      <w:pPr>
        <w:rPr>
          <w:rFonts w:cs="Times New Roman"/>
        </w:rPr>
      </w:pPr>
    </w:p>
    <w:p w14:paraId="11AF2CF6" w14:textId="06BD4CC2" w:rsidR="001521C3" w:rsidRDefault="00173BC6" w:rsidP="00040BB5">
      <w:pPr>
        <w:rPr>
          <w:rFonts w:cs="Times New Roman"/>
          <w:b/>
          <w:bCs/>
        </w:rPr>
      </w:pPr>
      <w:r w:rsidRPr="00173BC6">
        <w:rPr>
          <w:rFonts w:cs="Times New Roman"/>
          <w:b/>
          <w:bCs/>
        </w:rPr>
        <w:t xml:space="preserve">Elektrokardiograf </w:t>
      </w:r>
      <w:r w:rsidR="004465AA" w:rsidRPr="004465AA">
        <w:rPr>
          <w:rFonts w:cs="Times New Roman"/>
          <w:b/>
          <w:bCs/>
        </w:rPr>
        <w:t xml:space="preserve">szt. </w:t>
      </w:r>
      <w:r>
        <w:rPr>
          <w:rFonts w:cs="Times New Roman"/>
          <w:b/>
          <w:bCs/>
        </w:rPr>
        <w:t>5</w:t>
      </w:r>
      <w:r w:rsidR="005A3A4D">
        <w:rPr>
          <w:rFonts w:cs="Times New Roman"/>
          <w:b/>
          <w:bCs/>
        </w:rPr>
        <w:t xml:space="preserve"> - </w:t>
      </w:r>
      <w:r w:rsidR="005A3A4D" w:rsidRPr="005A3A4D">
        <w:rPr>
          <w:rFonts w:cs="Times New Roman"/>
          <w:b/>
          <w:bCs/>
        </w:rPr>
        <w:t>o minimalnych parametrach opisanych poniżej</w:t>
      </w:r>
      <w:r w:rsidR="00471DF6">
        <w:rPr>
          <w:rFonts w:cs="Times New Roman"/>
          <w:b/>
          <w:bCs/>
        </w:rPr>
        <w:t>:</w:t>
      </w:r>
    </w:p>
    <w:p w14:paraId="27366EFE" w14:textId="77777777" w:rsidR="00471DF6" w:rsidRDefault="00471DF6" w:rsidP="00040BB5">
      <w:pPr>
        <w:rPr>
          <w:rFonts w:cs="Times New Roman"/>
          <w:b/>
          <w:bCs/>
        </w:rPr>
      </w:pPr>
    </w:p>
    <w:bookmarkEnd w:id="0"/>
    <w:p w14:paraId="0400AE48" w14:textId="77777777" w:rsidR="00AD145E" w:rsidRDefault="00AD145E" w:rsidP="00AD145E">
      <w:pPr>
        <w:pStyle w:val="Akapitzlist"/>
        <w:numPr>
          <w:ilvl w:val="0"/>
          <w:numId w:val="11"/>
        </w:numPr>
        <w:ind w:left="426" w:hanging="284"/>
        <w:rPr>
          <w:rFonts w:cs="Times New Roman"/>
        </w:rPr>
      </w:pPr>
      <w:r>
        <w:rPr>
          <w:rFonts w:cs="Times New Roman"/>
        </w:rPr>
        <w:t>prezentacja na wyświetlaczu 1, 3, 6 lub 12 przebiegów EKG, wyników analizy i interpretacji, badań zapisanych w pamięci;</w:t>
      </w:r>
    </w:p>
    <w:p w14:paraId="292AA1F3" w14:textId="77777777" w:rsidR="00AD145E" w:rsidRDefault="00AD145E" w:rsidP="00AD145E">
      <w:pPr>
        <w:pStyle w:val="Akapitzlist"/>
        <w:numPr>
          <w:ilvl w:val="0"/>
          <w:numId w:val="11"/>
        </w:numPr>
        <w:ind w:left="426" w:hanging="284"/>
        <w:rPr>
          <w:rFonts w:cs="Times New Roman"/>
        </w:rPr>
      </w:pPr>
      <w:r>
        <w:rPr>
          <w:rFonts w:cs="Times New Roman"/>
        </w:rPr>
        <w:t xml:space="preserve">rejestracja 12 standardowych </w:t>
      </w:r>
      <w:proofErr w:type="spellStart"/>
      <w:r>
        <w:rPr>
          <w:rFonts w:cs="Times New Roman"/>
        </w:rPr>
        <w:t>odprowadzeń</w:t>
      </w:r>
      <w:proofErr w:type="spellEnd"/>
      <w:r>
        <w:rPr>
          <w:rFonts w:cs="Times New Roman"/>
        </w:rPr>
        <w:t xml:space="preserve"> EKG;</w:t>
      </w:r>
    </w:p>
    <w:p w14:paraId="6393BE0B" w14:textId="77777777" w:rsidR="00AD145E" w:rsidRDefault="00AD145E" w:rsidP="00AD145E">
      <w:pPr>
        <w:pStyle w:val="Akapitzlist"/>
        <w:numPr>
          <w:ilvl w:val="0"/>
          <w:numId w:val="11"/>
        </w:numPr>
        <w:ind w:left="426" w:hanging="284"/>
        <w:rPr>
          <w:rFonts w:cs="Times New Roman"/>
        </w:rPr>
      </w:pPr>
      <w:r>
        <w:rPr>
          <w:rFonts w:cs="Times New Roman"/>
        </w:rPr>
        <w:t>wydruk w trybie 1, 3, 6 lub 12 przebiegów EKG; drukowanie wybranej grupy:</w:t>
      </w:r>
    </w:p>
    <w:p w14:paraId="35EE92E0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- 1 kanał - (I, II, III, </w:t>
      </w:r>
      <w:proofErr w:type="spellStart"/>
      <w:r>
        <w:rPr>
          <w:rFonts w:cs="Times New Roman"/>
        </w:rPr>
        <w:t>aVR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aVL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aVF</w:t>
      </w:r>
      <w:proofErr w:type="spellEnd"/>
      <w:r>
        <w:rPr>
          <w:rFonts w:cs="Times New Roman"/>
        </w:rPr>
        <w:t>, V1, V2, V3, V4, V5, V6)</w:t>
      </w:r>
    </w:p>
    <w:p w14:paraId="1C855DEA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- 3 kanały w układzie standardowym - (I-II-III, </w:t>
      </w:r>
      <w:proofErr w:type="spellStart"/>
      <w:r>
        <w:rPr>
          <w:rFonts w:cs="Times New Roman"/>
        </w:rPr>
        <w:t>aVR-aVL-aVF</w:t>
      </w:r>
      <w:proofErr w:type="spellEnd"/>
      <w:r>
        <w:rPr>
          <w:rFonts w:cs="Times New Roman"/>
        </w:rPr>
        <w:t>, V1-V2-V3, V4-V5-V6)</w:t>
      </w:r>
    </w:p>
    <w:p w14:paraId="437098DF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>- 3 kanały w układzie Cabrera (</w:t>
      </w:r>
      <w:proofErr w:type="spellStart"/>
      <w:r>
        <w:rPr>
          <w:rFonts w:cs="Times New Roman"/>
        </w:rPr>
        <w:t>aVL</w:t>
      </w:r>
      <w:proofErr w:type="spellEnd"/>
      <w:r>
        <w:rPr>
          <w:rFonts w:cs="Times New Roman"/>
        </w:rPr>
        <w:t>-I-</w:t>
      </w:r>
      <w:proofErr w:type="spellStart"/>
      <w:r>
        <w:rPr>
          <w:rFonts w:cs="Times New Roman"/>
        </w:rPr>
        <w:t>aVR</w:t>
      </w:r>
      <w:proofErr w:type="spellEnd"/>
      <w:r>
        <w:rPr>
          <w:rFonts w:cs="Times New Roman"/>
        </w:rPr>
        <w:t>, II-</w:t>
      </w:r>
      <w:proofErr w:type="spellStart"/>
      <w:r>
        <w:rPr>
          <w:rFonts w:cs="Times New Roman"/>
        </w:rPr>
        <w:t>aVF</w:t>
      </w:r>
      <w:proofErr w:type="spellEnd"/>
      <w:r>
        <w:rPr>
          <w:rFonts w:cs="Times New Roman"/>
        </w:rPr>
        <w:t>-III, V1-V2-V3, V4-V5-V6)</w:t>
      </w:r>
    </w:p>
    <w:p w14:paraId="51A58C0F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>- 6 kanałów w układzie standardowym - (I-II-III-</w:t>
      </w:r>
      <w:proofErr w:type="spellStart"/>
      <w:r>
        <w:rPr>
          <w:rFonts w:cs="Times New Roman"/>
        </w:rPr>
        <w:t>aVR</w:t>
      </w:r>
      <w:proofErr w:type="spellEnd"/>
      <w:r>
        <w:rPr>
          <w:rFonts w:cs="Times New Roman"/>
        </w:rPr>
        <w:t>-</w:t>
      </w:r>
      <w:proofErr w:type="spellStart"/>
      <w:r>
        <w:rPr>
          <w:rFonts w:cs="Times New Roman"/>
        </w:rPr>
        <w:t>aVL-aVF</w:t>
      </w:r>
      <w:proofErr w:type="spellEnd"/>
      <w:r>
        <w:rPr>
          <w:rFonts w:cs="Times New Roman"/>
        </w:rPr>
        <w:t>, V1-V2-V3-V4-V5-V6)</w:t>
      </w:r>
    </w:p>
    <w:p w14:paraId="56FB0E9D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>- 6 kanałów w układzie Cabrera (</w:t>
      </w:r>
      <w:proofErr w:type="spellStart"/>
      <w:r>
        <w:rPr>
          <w:rFonts w:cs="Times New Roman"/>
        </w:rPr>
        <w:t>aVL</w:t>
      </w:r>
      <w:proofErr w:type="spellEnd"/>
      <w:r>
        <w:rPr>
          <w:rFonts w:cs="Times New Roman"/>
        </w:rPr>
        <w:t>-I-</w:t>
      </w:r>
      <w:proofErr w:type="spellStart"/>
      <w:r>
        <w:rPr>
          <w:rFonts w:cs="Times New Roman"/>
        </w:rPr>
        <w:t>aVR</w:t>
      </w:r>
      <w:proofErr w:type="spellEnd"/>
      <w:r>
        <w:rPr>
          <w:rFonts w:cs="Times New Roman"/>
        </w:rPr>
        <w:t>-II-</w:t>
      </w:r>
      <w:proofErr w:type="spellStart"/>
      <w:r>
        <w:rPr>
          <w:rFonts w:cs="Times New Roman"/>
        </w:rPr>
        <w:t>aVF</w:t>
      </w:r>
      <w:proofErr w:type="spellEnd"/>
      <w:r>
        <w:rPr>
          <w:rFonts w:cs="Times New Roman"/>
        </w:rPr>
        <w:t>-III, V1-V2-V3-V4-V5-V6)</w:t>
      </w:r>
    </w:p>
    <w:p w14:paraId="786C7DD7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>- 12 kanałów w układzie standardowym - (I-II-III-aVR-aVL-aVF-V1-V2-V3-V4-V5-V6)</w:t>
      </w:r>
    </w:p>
    <w:p w14:paraId="75249504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>- 12 kanałów w układzie Cabrera (aVL-I-aVR-II-aVF-III-V1-V2-V3-V4-V5-V6)</w:t>
      </w:r>
    </w:p>
    <w:p w14:paraId="1775BAA9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możliwe rodzaje badań: ręczne, AUTO, SPIRO, automatyczne do schowka, AUTOMANUAL, LONG;</w:t>
      </w:r>
    </w:p>
    <w:p w14:paraId="1A8690C8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 xml:space="preserve">zapis automatyczny z funkcją zapisu do „schowka” sygnału EKG ze wszystkich 12 </w:t>
      </w:r>
      <w:proofErr w:type="spellStart"/>
      <w:r>
        <w:rPr>
          <w:rFonts w:cs="Times New Roman"/>
        </w:rPr>
        <w:t>odprowadzeń</w:t>
      </w:r>
      <w:proofErr w:type="spellEnd"/>
      <w:r>
        <w:rPr>
          <w:rFonts w:cs="Times New Roman"/>
        </w:rPr>
        <w:t xml:space="preserve"> jednocześnie, a następnie w zależności od ustawień: wydrukowanie badania, analizy, interpretacji lub zapisanie badania do bazy; </w:t>
      </w:r>
    </w:p>
    <w:p w14:paraId="376D02A7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regulowana długość zapisu badania automatycznego – w przedziale od 6 do 30 sekund;</w:t>
      </w:r>
    </w:p>
    <w:p w14:paraId="6C0B8AC5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zapis wsteczny przy badaniu automatycznym do schowka i przy badaniu ręcznym;</w:t>
      </w:r>
    </w:p>
    <w:p w14:paraId="11D79A0F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wydruk rytmu przy badaniu AUTO i badaniu automatycznym do schowka;</w:t>
      </w:r>
    </w:p>
    <w:p w14:paraId="173DF9E8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definiowalne etapy badania według ustalonych parametrów przy badaniu AUTOMANUAL;</w:t>
      </w:r>
    </w:p>
    <w:p w14:paraId="3FA9058F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zapis badania do pamięci od 1 minuty do 15 minut w trybie LONG;</w:t>
      </w:r>
    </w:p>
    <w:p w14:paraId="52471557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wydruk na drukarce aparatu lub zewnętrznej drukarce PCL5/PCL6;</w:t>
      </w:r>
    </w:p>
    <w:p w14:paraId="0C0A9502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wydruk z bazy pacjentów; możliwość wydruku dodatkowych informacji o badaniu i pacjencie;</w:t>
      </w:r>
    </w:p>
    <w:p w14:paraId="0D031E82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klawiatura membranowa alfanumeryczna z przyciskami funkcyjnymi;</w:t>
      </w:r>
    </w:p>
    <w:p w14:paraId="4BB61E38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możliwość ustawienia parametrów przebiegów: prędkości, czułości i intensywności wydruku;</w:t>
      </w:r>
    </w:p>
    <w:p w14:paraId="24B21EA4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łatwa obsługa dzięki menu obsługiwanemu za pomocą panelu dotykowego;</w:t>
      </w:r>
    </w:p>
    <w:p w14:paraId="604E3A51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baza pacjentów i badań; pamięć do 1000 pacjentów lub 1000 badań;</w:t>
      </w:r>
    </w:p>
    <w:p w14:paraId="34200CDE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 xml:space="preserve">przeglądanie na wyświetlaczu zapisanych w pamięci badań, z możliwością zmiany ilości </w:t>
      </w:r>
      <w:proofErr w:type="spellStart"/>
      <w:r>
        <w:rPr>
          <w:rFonts w:cs="Times New Roman"/>
        </w:rPr>
        <w:t>odprowadzeń</w:t>
      </w:r>
      <w:proofErr w:type="spellEnd"/>
      <w:r>
        <w:rPr>
          <w:rFonts w:cs="Times New Roman"/>
        </w:rPr>
        <w:t>, wzmocnienia i prędkości;</w:t>
      </w:r>
    </w:p>
    <w:p w14:paraId="4C9A7983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automatyczna analiza i interpretacja zgodna z EN 60601-2-51 (baza CSE) - wyniki analizy i interpretacji zależne od wieku i płci pacjenta;</w:t>
      </w:r>
    </w:p>
    <w:p w14:paraId="5D3480C3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wykonanie min. 120 badań automatycznych w trybie pracy akumulatorowej;</w:t>
      </w:r>
    </w:p>
    <w:p w14:paraId="423CA171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ciągły pomiar częstości akcji serca (HR) i jego prezentacja na wyświetlaczu;</w:t>
      </w:r>
    </w:p>
    <w:p w14:paraId="2B0A3568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praca na otwartym sercu - aparat przystosowany do bezpośredniej pracy na otwartym sercu;</w:t>
      </w:r>
    </w:p>
    <w:p w14:paraId="41AFA9F4" w14:textId="77777777" w:rsidR="00AD145E" w:rsidRDefault="00AD145E" w:rsidP="00AD145E">
      <w:pPr>
        <w:pStyle w:val="Akapitzlist"/>
        <w:numPr>
          <w:ilvl w:val="0"/>
          <w:numId w:val="12"/>
        </w:numPr>
        <w:ind w:left="426" w:hanging="284"/>
        <w:rPr>
          <w:rFonts w:cs="Times New Roman"/>
        </w:rPr>
      </w:pPr>
      <w:r>
        <w:rPr>
          <w:rFonts w:cs="Times New Roman"/>
        </w:rPr>
        <w:t>możliwość włączania i wyłączania filtrów:</w:t>
      </w:r>
    </w:p>
    <w:p w14:paraId="0B17C0F2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filtr zakłóceń sieciowych; do wyboru filtry: 50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60 </w:t>
      </w:r>
      <w:proofErr w:type="spellStart"/>
      <w:r>
        <w:rPr>
          <w:rFonts w:cs="Times New Roman"/>
        </w:rPr>
        <w:t>Hz</w:t>
      </w:r>
      <w:proofErr w:type="spellEnd"/>
    </w:p>
    <w:p w14:paraId="2951CC72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filtr zakłóceń mięśniowych; do wyboru filtry: 25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35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45 </w:t>
      </w:r>
      <w:proofErr w:type="spellStart"/>
      <w:r>
        <w:rPr>
          <w:rFonts w:cs="Times New Roman"/>
        </w:rPr>
        <w:t>Hz</w:t>
      </w:r>
      <w:proofErr w:type="spellEnd"/>
    </w:p>
    <w:p w14:paraId="421D04A9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filtr izolinii; do wyboru filtry: 0,15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0,45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0,75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1,5 </w:t>
      </w:r>
      <w:proofErr w:type="spellStart"/>
      <w:r>
        <w:rPr>
          <w:rFonts w:cs="Times New Roman"/>
        </w:rPr>
        <w:t>Hz</w:t>
      </w:r>
      <w:proofErr w:type="spellEnd"/>
    </w:p>
    <w:p w14:paraId="6E4899AA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filtr dolnoprzepustowy (v.07.225): 75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100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125 </w:t>
      </w:r>
      <w:proofErr w:type="spellStart"/>
      <w:r>
        <w:rPr>
          <w:rFonts w:cs="Times New Roman"/>
        </w:rPr>
        <w:t>Hz</w:t>
      </w:r>
      <w:proofErr w:type="spellEnd"/>
      <w:r>
        <w:rPr>
          <w:rFonts w:cs="Times New Roman"/>
        </w:rPr>
        <w:t xml:space="preserve">, 150 </w:t>
      </w:r>
      <w:proofErr w:type="spellStart"/>
      <w:r>
        <w:rPr>
          <w:rFonts w:cs="Times New Roman"/>
        </w:rPr>
        <w:t>Hz</w:t>
      </w:r>
      <w:proofErr w:type="spellEnd"/>
    </w:p>
    <w:p w14:paraId="723BF987" w14:textId="77777777" w:rsidR="00AD145E" w:rsidRDefault="00AD145E" w:rsidP="00AD145E">
      <w:pPr>
        <w:pStyle w:val="Akapitzlist"/>
        <w:ind w:left="426"/>
        <w:rPr>
          <w:rFonts w:cs="Times New Roman"/>
        </w:rPr>
      </w:pPr>
      <w:r>
        <w:rPr>
          <w:rFonts w:cs="Times New Roman"/>
        </w:rPr>
        <w:t xml:space="preserve">- filtr </w:t>
      </w:r>
      <w:proofErr w:type="spellStart"/>
      <w:r>
        <w:rPr>
          <w:rFonts w:cs="Times New Roman"/>
        </w:rPr>
        <w:t>autoadaptacyjny</w:t>
      </w:r>
      <w:proofErr w:type="spellEnd"/>
      <w:r>
        <w:rPr>
          <w:rFonts w:cs="Times New Roman"/>
        </w:rPr>
        <w:t xml:space="preserve"> (v.07.225)</w:t>
      </w:r>
    </w:p>
    <w:p w14:paraId="01E0AA1B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detekcja INOP odpięcia elektrody niezależna dla każdego kanału;</w:t>
      </w:r>
    </w:p>
    <w:p w14:paraId="22EA7D3E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wykrywanie i prezentacja impulsów stymulujących;</w:t>
      </w:r>
    </w:p>
    <w:p w14:paraId="18D3662E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 xml:space="preserve">dźwiękowa sygnalizacja wykrytych </w:t>
      </w:r>
      <w:proofErr w:type="spellStart"/>
      <w:r>
        <w:rPr>
          <w:rFonts w:cs="Times New Roman"/>
        </w:rPr>
        <w:t>pobudzeń</w:t>
      </w:r>
      <w:proofErr w:type="spellEnd"/>
      <w:r>
        <w:rPr>
          <w:rFonts w:cs="Times New Roman"/>
        </w:rPr>
        <w:t xml:space="preserve"> stymulatora serca;</w:t>
      </w:r>
    </w:p>
    <w:p w14:paraId="0103B51A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lastRenderedPageBreak/>
        <w:t>zabezpieczenie przed impulsem defibrylującym;</w:t>
      </w:r>
    </w:p>
    <w:p w14:paraId="06475761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eksport badań do pamięci USB, na skrzynkę e-mail lub na inny aparat za pomocą usługi EKG-MAIL;</w:t>
      </w:r>
    </w:p>
    <w:p w14:paraId="79EFC8CD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przewodowa komunikacja z siecią LAN lub Internet;</w:t>
      </w:r>
    </w:p>
    <w:p w14:paraId="7EF75E62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 xml:space="preserve">współpraca z oprogramowaniem </w:t>
      </w:r>
      <w:proofErr w:type="spellStart"/>
      <w:r>
        <w:rPr>
          <w:rFonts w:cs="Times New Roman"/>
        </w:rPr>
        <w:t>CardioTEKA</w:t>
      </w:r>
      <w:proofErr w:type="spellEnd"/>
      <w:r>
        <w:rPr>
          <w:rFonts w:cs="Times New Roman"/>
        </w:rPr>
        <w:t xml:space="preserve"> oraz </w:t>
      </w:r>
      <w:proofErr w:type="spellStart"/>
      <w:r>
        <w:rPr>
          <w:rFonts w:cs="Times New Roman"/>
        </w:rPr>
        <w:t>CardioTEL</w:t>
      </w:r>
      <w:proofErr w:type="spellEnd"/>
      <w:r>
        <w:rPr>
          <w:rFonts w:cs="Times New Roman"/>
        </w:rPr>
        <w:t>;</w:t>
      </w:r>
    </w:p>
    <w:p w14:paraId="72ECC491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wykonywanie spirometrycznego badania przesiewowego przy użyciu przystawki SPIRO-31;</w:t>
      </w:r>
    </w:p>
    <w:p w14:paraId="003DEF55" w14:textId="77777777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EDM - archiwizacja badań za dany okres na zewnętrznym nośniku (pamięć USB);</w:t>
      </w:r>
    </w:p>
    <w:p w14:paraId="63133EB5" w14:textId="7EDA6E44" w:rsidR="00AD145E" w:rsidRDefault="00AD145E" w:rsidP="00AD145E">
      <w:pPr>
        <w:pStyle w:val="Akapitzlist"/>
        <w:numPr>
          <w:ilvl w:val="0"/>
          <w:numId w:val="13"/>
        </w:numPr>
        <w:ind w:left="426" w:hanging="284"/>
        <w:rPr>
          <w:rFonts w:cs="Times New Roman"/>
        </w:rPr>
      </w:pPr>
      <w:r>
        <w:rPr>
          <w:rFonts w:cs="Times New Roman"/>
        </w:rPr>
        <w:t>Wózek do aparatu – 5 szt.</w:t>
      </w:r>
    </w:p>
    <w:p w14:paraId="6DAE21D8" w14:textId="77777777" w:rsidR="00173BC6" w:rsidRDefault="00173BC6" w:rsidP="00BB220F">
      <w:pPr>
        <w:rPr>
          <w:rFonts w:cs="Times New Roman"/>
          <w:b/>
          <w:bCs/>
          <w:sz w:val="28"/>
          <w:szCs w:val="28"/>
        </w:rPr>
      </w:pPr>
    </w:p>
    <w:p w14:paraId="0CF51F1E" w14:textId="51881C2F" w:rsidR="00BB220F" w:rsidRDefault="00BB220F" w:rsidP="00BB220F">
      <w:pPr>
        <w:rPr>
          <w:rFonts w:cs="Times New Roman"/>
          <w:b/>
          <w:bCs/>
          <w:sz w:val="28"/>
          <w:szCs w:val="28"/>
        </w:rPr>
      </w:pPr>
      <w:r w:rsidRPr="00BB220F">
        <w:rPr>
          <w:rFonts w:cs="Times New Roman"/>
          <w:b/>
          <w:bCs/>
          <w:sz w:val="28"/>
          <w:szCs w:val="28"/>
        </w:rPr>
        <w:t xml:space="preserve">Część </w:t>
      </w:r>
      <w:r>
        <w:rPr>
          <w:rFonts w:cs="Times New Roman"/>
          <w:b/>
          <w:bCs/>
          <w:sz w:val="28"/>
          <w:szCs w:val="28"/>
        </w:rPr>
        <w:t>2</w:t>
      </w:r>
    </w:p>
    <w:p w14:paraId="4F30EAB8" w14:textId="73DBD6B7" w:rsidR="00BB220F" w:rsidRPr="00E31DF3" w:rsidRDefault="00173BC6" w:rsidP="00BB220F">
      <w:pPr>
        <w:rPr>
          <w:rFonts w:asciiTheme="minorHAnsi" w:hAnsiTheme="minorHAnsi" w:cstheme="minorHAnsi"/>
          <w:b/>
          <w:bCs/>
          <w:kern w:val="2"/>
          <w:sz w:val="22"/>
          <w:szCs w:val="22"/>
        </w:rPr>
      </w:pPr>
      <w:r w:rsidRPr="00E31DF3">
        <w:rPr>
          <w:rFonts w:asciiTheme="minorHAnsi" w:hAnsiTheme="minorHAnsi" w:cstheme="minorHAnsi"/>
          <w:b/>
          <w:bCs/>
          <w:sz w:val="22"/>
          <w:szCs w:val="22"/>
        </w:rPr>
        <w:t xml:space="preserve">Pompa infuzyjna Objętościowa – 4 szt. </w:t>
      </w:r>
      <w:r w:rsidR="00BB220F" w:rsidRPr="00E31DF3">
        <w:rPr>
          <w:rFonts w:asciiTheme="minorHAnsi" w:hAnsiTheme="minorHAnsi" w:cstheme="minorHAnsi"/>
          <w:b/>
          <w:bCs/>
          <w:sz w:val="22"/>
          <w:szCs w:val="22"/>
        </w:rPr>
        <w:t>o minimalnych parametrach opisanych poniżej</w:t>
      </w:r>
    </w:p>
    <w:p w14:paraId="25B953E8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Klasa ochronności I ( pierwsza) zgodnie z CE/MPG, Stopień ochrony CF;</w:t>
      </w:r>
    </w:p>
    <w:p w14:paraId="51D49F48" w14:textId="0EC89770" w:rsidR="002C3B0E" w:rsidRDefault="002C3B0E" w:rsidP="002C3B0E">
      <w:pPr>
        <w:pStyle w:val="Akapitzlist"/>
        <w:numPr>
          <w:ilvl w:val="0"/>
          <w:numId w:val="9"/>
        </w:numPr>
      </w:pPr>
      <w:r>
        <w:t>Zintegrowany uchwyt do przenoszenia oraz zintegrowany uchwyt do mocowania pompy do rur pionowych;</w:t>
      </w:r>
    </w:p>
    <w:p w14:paraId="64EF693E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Czas pracy przy zasilaniu akumulatorowym min. 3 godzin przy przepływie 125 ml/h;</w:t>
      </w:r>
    </w:p>
    <w:p w14:paraId="4FA5526E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 xml:space="preserve">Zasilanie sieciowe 220/230 V; 50/60 </w:t>
      </w:r>
      <w:proofErr w:type="spellStart"/>
      <w:r>
        <w:t>Hz</w:t>
      </w:r>
      <w:proofErr w:type="spellEnd"/>
      <w:r>
        <w:t>;</w:t>
      </w:r>
    </w:p>
    <w:p w14:paraId="145816D0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Zasilacz sieciowy wbudowany w urządzenie;</w:t>
      </w:r>
    </w:p>
    <w:p w14:paraId="126FDCAB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Komunikacja w języku polskim;</w:t>
      </w:r>
    </w:p>
    <w:p w14:paraId="68713AF3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Klawiatura numeryczna z dużym czytelnym wyświetlaczem z tylnym podświetleniem;</w:t>
      </w:r>
    </w:p>
    <w:p w14:paraId="5AEF6A4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Podaż dwukanałowa z parametrami programowanymi dla każdego kanału niezależnie;</w:t>
      </w:r>
    </w:p>
    <w:p w14:paraId="2DCCCBC8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Możliwość jednoczesnego podłączenia leków z dwóch różnych źródeł  : butelka /worek;</w:t>
      </w:r>
    </w:p>
    <w:p w14:paraId="24B2950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worek / strzykawka. Współpraca ze wszystkimi typami strzykawek trzyczęściowych z zakresu 3-60 ml;</w:t>
      </w:r>
    </w:p>
    <w:p w14:paraId="720BA0BA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Możliwość zaprogramowania podaży wieloetapowej (minimum 10 etapów) z jednego kanałów przy jednoczesnej ciągłej podaży z drugiego kanału;</w:t>
      </w:r>
    </w:p>
    <w:p w14:paraId="4321FD73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Możliwość podaży  jednoczesnej z obu kanałów lub automatyczne uruchamianie drugiego kanału po zakończeniu pierwszej dawki;</w:t>
      </w:r>
    </w:p>
    <w:p w14:paraId="0A05049D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Wszystkie zestawy infuzyjne dedykowane do pompy wyposażone w pułapkę wyłapującą z linii pęcherzyki powietrza. Pojemność pułapki ok. 2 ml.;</w:t>
      </w:r>
    </w:p>
    <w:p w14:paraId="7D8EBAB9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Zakres prędkości podaży ml/h (min-max) od 0,1 do 999 ml/h (do 99,9ml programowana co 0,1 ml );</w:t>
      </w:r>
    </w:p>
    <w:p w14:paraId="679E342E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Precyzyjna podaż niezależnie od wysokości zawieszenia worka, gęstości i lepkości płynu np. jeziorko na wysokości mechanizmu tłoczącego pompy;</w:t>
      </w:r>
    </w:p>
    <w:p w14:paraId="3B44B4FC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Po zatrzymaniu infuzji w wyniku alarmu „powietrze w linii” , możliwość wyprowadzenia powietrza poza tor podaży bez odłączania linii infuzyjnej od pacjenta;</w:t>
      </w:r>
    </w:p>
    <w:p w14:paraId="55DFED14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Dokładność +/-5%;</w:t>
      </w:r>
    </w:p>
    <w:p w14:paraId="0A9707B0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Programowa blokada klawiatury;</w:t>
      </w:r>
    </w:p>
    <w:p w14:paraId="5F0EA23C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Możliwość zmiany prędkości podaży bez konieczności zatrzymywania pompy;</w:t>
      </w:r>
    </w:p>
    <w:p w14:paraId="4F72B39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Programowana objętość infuzji w zakresie 0,1 do 9999 ml oraz programowanie wartości progu ciśnienia okluzji oraz  możliwość programowania pompy w różnych jednostkach :</w:t>
      </w:r>
    </w:p>
    <w:p w14:paraId="7E60488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objętości, masy oraz z uwzględnieniem masy ciała pacjenta</w:t>
      </w:r>
    </w:p>
    <w:p w14:paraId="4ECB1E03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Wyświetlanie wartości aktualnego ciśnienia panującego w linii;</w:t>
      </w:r>
    </w:p>
    <w:p w14:paraId="614B3121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Wyświetlanie nazw min. 120 leków;</w:t>
      </w:r>
    </w:p>
    <w:p w14:paraId="1CA8A93D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 xml:space="preserve">Możliwość podaży dawki wprowadzającej ( bolus początkowy); </w:t>
      </w:r>
    </w:p>
    <w:p w14:paraId="0D71525E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Automatyczna kalkulacja prędkości podaży jako funkcja objętości wlewu i czasu;</w:t>
      </w:r>
    </w:p>
    <w:p w14:paraId="4F71A562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Alarmy  powietrza w drenie , okluzji, braku przepływu ,rozładowania się baterii ,  bliskiego końca infuzji , braku aktywności z możliwością regulacji głośności;</w:t>
      </w:r>
    </w:p>
    <w:p w14:paraId="55E2742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Funkcja KVO - utrzymanie drożności naczyń;</w:t>
      </w:r>
    </w:p>
    <w:p w14:paraId="6B8E9D95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Zestaw infuzyjny poza pompą automatycznie zabezpieczany przed wypływem grawitacyjnym;</w:t>
      </w:r>
    </w:p>
    <w:p w14:paraId="59405DC8" w14:textId="77777777" w:rsidR="002C3B0E" w:rsidRDefault="002C3B0E" w:rsidP="002C3B0E">
      <w:pPr>
        <w:pStyle w:val="Akapitzlist"/>
        <w:numPr>
          <w:ilvl w:val="0"/>
          <w:numId w:val="9"/>
        </w:numPr>
      </w:pPr>
      <w:r>
        <w:t>Możliwość podaży krwi, preparatów krwiopochodnych.</w:t>
      </w:r>
    </w:p>
    <w:p w14:paraId="155A96DA" w14:textId="77777777" w:rsidR="002C3B0E" w:rsidRDefault="002C3B0E" w:rsidP="002C3B0E">
      <w:pPr>
        <w:rPr>
          <w:rFonts w:ascii="Calibri" w:hAnsi="Calibri"/>
          <w:sz w:val="22"/>
          <w:szCs w:val="22"/>
        </w:rPr>
      </w:pPr>
    </w:p>
    <w:p w14:paraId="6805A282" w14:textId="77777777" w:rsidR="00BB220F" w:rsidRDefault="00BB220F" w:rsidP="00BB220F">
      <w:pPr>
        <w:rPr>
          <w:rFonts w:cs="Times New Roman"/>
          <w:b/>
          <w:bCs/>
          <w:sz w:val="28"/>
          <w:szCs w:val="28"/>
        </w:rPr>
      </w:pPr>
    </w:p>
    <w:p w14:paraId="73D514B8" w14:textId="326E3996" w:rsidR="00BB220F" w:rsidRDefault="00BB220F" w:rsidP="00BB220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Część 3 </w:t>
      </w:r>
    </w:p>
    <w:p w14:paraId="49A3FF97" w14:textId="7EF72770" w:rsidR="00522FE5" w:rsidRDefault="00471DF6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471DF6">
        <w:rPr>
          <w:rFonts w:asciiTheme="minorHAnsi" w:hAnsiTheme="minorHAnsi" w:cstheme="minorHAnsi"/>
          <w:b/>
          <w:bCs/>
          <w:sz w:val="22"/>
          <w:szCs w:val="22"/>
        </w:rPr>
        <w:t xml:space="preserve">Lampa wirusobójcza przepływowa dostosowana do użytku w obecności pacjentów- 10 </w:t>
      </w:r>
      <w:proofErr w:type="spellStart"/>
      <w:r w:rsidRPr="00471DF6">
        <w:rPr>
          <w:rFonts w:asciiTheme="minorHAnsi" w:hAnsiTheme="minorHAnsi" w:cstheme="minorHAnsi"/>
          <w:b/>
          <w:bCs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Pr="00471DF6">
        <w:rPr>
          <w:rFonts w:asciiTheme="minorHAnsi" w:hAnsiTheme="minorHAnsi" w:cstheme="minorHAnsi"/>
          <w:b/>
          <w:bCs/>
          <w:sz w:val="22"/>
          <w:szCs w:val="22"/>
        </w:rPr>
        <w:t>o minimalnych parametrach opisanych poniżej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AB0EA4C" w14:textId="77777777" w:rsidR="00471DF6" w:rsidRPr="00471DF6" w:rsidRDefault="00471DF6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7A87AC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Wirusobójcze i bakteriobójcze urządzenie służce do przepływowej dezynfekcji powietrza</w:t>
      </w:r>
    </w:p>
    <w:p w14:paraId="7EB3A181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Urządzenie o max. wymiarach 226x210x1253mm</w:t>
      </w:r>
    </w:p>
    <w:p w14:paraId="4C47D1C4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Kabel zasilający min. 4m</w:t>
      </w:r>
    </w:p>
    <w:p w14:paraId="7A472870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Zasilanie 230V</w:t>
      </w:r>
    </w:p>
    <w:p w14:paraId="16E74188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Waga max 17,5kg</w:t>
      </w:r>
    </w:p>
    <w:p w14:paraId="40C9C729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Mobilny stojak na kółkach</w:t>
      </w:r>
    </w:p>
    <w:p w14:paraId="17EA580C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Moduł lampowy – Philips</w:t>
      </w:r>
    </w:p>
    <w:p w14:paraId="14408A45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Filtr węglowy</w:t>
      </w:r>
    </w:p>
    <w:p w14:paraId="0B053E9A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 w:rsidRPr="00494C1C">
        <w:rPr>
          <w:rStyle w:val="A2"/>
        </w:rPr>
        <w:t xml:space="preserve">Obudowa zabezpieczająca przed emisją promieni </w:t>
      </w:r>
      <w:proofErr w:type="spellStart"/>
      <w:r w:rsidRPr="00494C1C">
        <w:rPr>
          <w:rStyle w:val="A2"/>
        </w:rPr>
        <w:t>uv</w:t>
      </w:r>
      <w:proofErr w:type="spellEnd"/>
      <w:r w:rsidRPr="00494C1C">
        <w:rPr>
          <w:rStyle w:val="A2"/>
        </w:rPr>
        <w:t>-c</w:t>
      </w:r>
    </w:p>
    <w:p w14:paraId="633F6300" w14:textId="77777777" w:rsidR="00471DF6" w:rsidRDefault="00471DF6" w:rsidP="00471DF6">
      <w:pPr>
        <w:pStyle w:val="Akapitzlist"/>
        <w:numPr>
          <w:ilvl w:val="0"/>
          <w:numId w:val="7"/>
        </w:numPr>
        <w:rPr>
          <w:rStyle w:val="A2"/>
        </w:rPr>
      </w:pPr>
      <w:r>
        <w:rPr>
          <w:rStyle w:val="A2"/>
        </w:rPr>
        <w:t>Poziom hałasu: max 58 DB</w:t>
      </w:r>
    </w:p>
    <w:p w14:paraId="03D6E767" w14:textId="77777777" w:rsidR="00471DF6" w:rsidRDefault="00471DF6" w:rsidP="00522FE5">
      <w:pPr>
        <w:rPr>
          <w:rFonts w:cs="Times New Roman"/>
          <w:b/>
          <w:bCs/>
          <w:sz w:val="28"/>
          <w:szCs w:val="28"/>
        </w:rPr>
      </w:pPr>
    </w:p>
    <w:p w14:paraId="3DF7208C" w14:textId="193E3DD6" w:rsidR="00522FE5" w:rsidRDefault="00522FE5" w:rsidP="00522FE5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Część </w:t>
      </w:r>
      <w:r w:rsidR="00471DF6">
        <w:rPr>
          <w:rFonts w:cs="Times New Roman"/>
          <w:b/>
          <w:bCs/>
          <w:sz w:val="28"/>
          <w:szCs w:val="28"/>
        </w:rPr>
        <w:t>4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7391DDCE" w14:textId="0619DA4E" w:rsidR="00522FE5" w:rsidRPr="00E31DF3" w:rsidRDefault="00471DF6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1DF3">
        <w:rPr>
          <w:rFonts w:asciiTheme="minorHAnsi" w:hAnsiTheme="minorHAnsi" w:cstheme="minorHAnsi"/>
          <w:b/>
          <w:bCs/>
          <w:sz w:val="22"/>
          <w:szCs w:val="22"/>
        </w:rPr>
        <w:t>Pulsoksymetr – 5 szt.</w:t>
      </w:r>
      <w:r w:rsidRPr="00E31DF3">
        <w:t xml:space="preserve"> </w:t>
      </w:r>
      <w:r w:rsidRPr="00E31DF3">
        <w:rPr>
          <w:rFonts w:asciiTheme="minorHAnsi" w:hAnsiTheme="minorHAnsi" w:cstheme="minorHAnsi"/>
          <w:b/>
          <w:bCs/>
          <w:sz w:val="22"/>
          <w:szCs w:val="22"/>
        </w:rPr>
        <w:t>o minimalnych parametrach opisanych poniżej</w:t>
      </w:r>
    </w:p>
    <w:p w14:paraId="3979EF9C" w14:textId="44A130A0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Pulsoksymetr stacjonarno-transportowy z wbudowanym akumulatorem i zasilaczem sieciowym</w:t>
      </w:r>
      <w:r w:rsidRPr="00E31DF3">
        <w:rPr>
          <w:rFonts w:asciiTheme="minorHAnsi" w:eastAsia="Times New Roman" w:hAnsiTheme="minorHAnsi" w:cstheme="minorHAnsi"/>
          <w:color w:val="000000"/>
        </w:rPr>
        <w:t>;</w:t>
      </w:r>
    </w:p>
    <w:p w14:paraId="28D8A27A" w14:textId="76D33A12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system monitowania saturacji SpO2 oraz tętna noworodków, dzieci i dorosłych</w:t>
      </w:r>
    </w:p>
    <w:p w14:paraId="2067BD7A" w14:textId="3066BBF7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 xml:space="preserve">Zasilanie 100-240 VAC, 50/60 </w:t>
      </w:r>
      <w:proofErr w:type="spellStart"/>
      <w:r w:rsidRPr="00E31DF3">
        <w:rPr>
          <w:rFonts w:asciiTheme="minorHAnsi" w:eastAsia="Times New Roman" w:hAnsiTheme="minorHAnsi" w:cstheme="minorHAnsi"/>
          <w:color w:val="000000"/>
        </w:rPr>
        <w:t>Hz</w:t>
      </w:r>
      <w:proofErr w:type="spellEnd"/>
      <w:r w:rsidRPr="00E31DF3">
        <w:rPr>
          <w:rFonts w:asciiTheme="minorHAnsi" w:eastAsia="Times New Roman" w:hAnsiTheme="minorHAnsi" w:cstheme="minorHAnsi"/>
          <w:color w:val="000000"/>
        </w:rPr>
        <w:t>, 45VA</w:t>
      </w:r>
    </w:p>
    <w:p w14:paraId="7045CE37" w14:textId="60F79DE6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Pojemność akumulatora minimum 5 godzin przy użyciu nowego, w pełni naładowanego akumulatora, bez alarmów z możliwością wymiany na akumulator 10-godzinny</w:t>
      </w:r>
    </w:p>
    <w:p w14:paraId="6F8CFDF5" w14:textId="58C27622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Zintegrowany z obudową uchwyt do przenoszenia urządzenia</w:t>
      </w:r>
    </w:p>
    <w:p w14:paraId="16717718" w14:textId="34E034FA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Waga maksymalna 1,7 kg</w:t>
      </w:r>
    </w:p>
    <w:p w14:paraId="185D29A6" w14:textId="6EA35AD2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Menu w języku polskim</w:t>
      </w:r>
    </w:p>
    <w:p w14:paraId="0BE0136B" w14:textId="61301A3E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Nawigacja i sterowanie za pomocą pokrętła wielofunkcyjnego</w:t>
      </w:r>
    </w:p>
    <w:p w14:paraId="48712CF5" w14:textId="59BB459E" w:rsidR="00B01FB0" w:rsidRPr="00E31DF3" w:rsidRDefault="00B01FB0" w:rsidP="00B069A3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</w:rPr>
        <w:t>Kolorowy wyświetlacz TFT LCD prezentujący wszystkie  graficzne i numeryczne  informacje pacjenta oraz komunikaty</w:t>
      </w:r>
      <w:r w:rsidRPr="00E31DF3">
        <w:rPr>
          <w:rFonts w:asciiTheme="minorHAnsi" w:hAnsiTheme="minorHAnsi" w:cstheme="minorHAnsi"/>
        </w:rPr>
        <w:t xml:space="preserve"> </w:t>
      </w:r>
      <w:r w:rsidRPr="00E31DF3">
        <w:rPr>
          <w:rFonts w:asciiTheme="minorHAnsi" w:hAnsiTheme="minorHAnsi" w:cstheme="minorHAnsi"/>
        </w:rPr>
        <w:t>Ostrzegawcze</w:t>
      </w:r>
    </w:p>
    <w:p w14:paraId="0ADBAF84" w14:textId="186ECF81" w:rsidR="00B01FB0" w:rsidRPr="00E31DF3" w:rsidRDefault="00B01FB0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</w:rPr>
        <w:t>Wyświetlanie</w:t>
      </w:r>
      <w:r w:rsidRPr="00E31DF3">
        <w:rPr>
          <w:rFonts w:asciiTheme="minorHAnsi" w:hAnsiTheme="minorHAnsi" w:cstheme="minorHAnsi"/>
        </w:rPr>
        <w:t>:</w:t>
      </w:r>
      <w:r w:rsidRPr="00E31DF3">
        <w:rPr>
          <w:rFonts w:asciiTheme="minorHAnsi" w:hAnsiTheme="minorHAnsi" w:cstheme="minorHAnsi"/>
        </w:rPr>
        <w:t xml:space="preserve"> krzywej </w:t>
      </w:r>
      <w:proofErr w:type="spellStart"/>
      <w:r w:rsidRPr="00E31DF3">
        <w:rPr>
          <w:rFonts w:asciiTheme="minorHAnsi" w:hAnsiTheme="minorHAnsi" w:cstheme="minorHAnsi"/>
        </w:rPr>
        <w:t>pletyzmografu</w:t>
      </w:r>
      <w:proofErr w:type="spellEnd"/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hAnsiTheme="minorHAnsi" w:cstheme="minorHAnsi"/>
        </w:rPr>
        <w:t>SpO2 — bieżąca wartość</w:t>
      </w:r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hAnsiTheme="minorHAnsi" w:cstheme="minorHAnsi"/>
        </w:rPr>
        <w:t>górnego i dolnego limitu alarmowego dla saturacji</w:t>
      </w:r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hAnsiTheme="minorHAnsi" w:cstheme="minorHAnsi"/>
        </w:rPr>
        <w:t>amplitudy tętna</w:t>
      </w:r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hAnsiTheme="minorHAnsi" w:cstheme="minorHAnsi"/>
        </w:rPr>
        <w:t>częstości tętna - bieżąca wartość</w:t>
      </w:r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hAnsiTheme="minorHAnsi" w:cstheme="minorHAnsi"/>
        </w:rPr>
        <w:t>górnego i dolnego limitu alarmowego dla tętna</w:t>
      </w:r>
      <w:r w:rsidRPr="00E31DF3">
        <w:rPr>
          <w:rFonts w:asciiTheme="minorHAnsi" w:hAnsiTheme="minorHAnsi" w:cstheme="minorHAnsi"/>
        </w:rPr>
        <w:t xml:space="preserve">, </w:t>
      </w:r>
      <w:r w:rsidRPr="00E31DF3">
        <w:rPr>
          <w:rFonts w:asciiTheme="minorHAnsi" w:eastAsia="Times New Roman" w:hAnsiTheme="minorHAnsi" w:cstheme="minorHAnsi"/>
          <w:color w:val="000000"/>
        </w:rPr>
        <w:t>czasu</w:t>
      </w:r>
      <w:r w:rsidRPr="00E31DF3">
        <w:rPr>
          <w:rFonts w:asciiTheme="minorHAnsi" w:eastAsia="Times New Roman" w:hAnsiTheme="minorHAnsi" w:cstheme="minorHAnsi"/>
          <w:color w:val="000000"/>
        </w:rPr>
        <w:t xml:space="preserve">, </w:t>
      </w:r>
      <w:r w:rsidRPr="00E31DF3">
        <w:rPr>
          <w:rFonts w:asciiTheme="minorHAnsi" w:eastAsia="Times New Roman" w:hAnsiTheme="minorHAnsi" w:cstheme="minorHAnsi"/>
          <w:color w:val="000000"/>
        </w:rPr>
        <w:t>ikony aktywnego alarmu</w:t>
      </w:r>
      <w:r w:rsidRPr="00E31DF3">
        <w:rPr>
          <w:rFonts w:asciiTheme="minorHAnsi" w:eastAsia="Times New Roman" w:hAnsiTheme="minorHAnsi" w:cstheme="minorHAnsi"/>
          <w:color w:val="000000"/>
        </w:rPr>
        <w:t>,</w:t>
      </w:r>
    </w:p>
    <w:p w14:paraId="6E1B33EB" w14:textId="72BEFC3E" w:rsidR="00B01FB0" w:rsidRPr="00E31DF3" w:rsidRDefault="00B01FB0" w:rsidP="00B5388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</w:rPr>
        <w:t>Ikona stanu baterii informująca o stopniu naładowania akumulatora</w:t>
      </w:r>
      <w:r w:rsidRPr="00E31DF3">
        <w:rPr>
          <w:rFonts w:asciiTheme="minorHAnsi" w:hAnsiTheme="minorHAnsi" w:cstheme="minorHAnsi"/>
        </w:rPr>
        <w:t xml:space="preserve"> wraz z w</w:t>
      </w:r>
      <w:r w:rsidRPr="00E31DF3">
        <w:rPr>
          <w:rFonts w:asciiTheme="minorHAnsi" w:hAnsiTheme="minorHAnsi" w:cstheme="minorHAnsi"/>
        </w:rPr>
        <w:t>skaźnik</w:t>
      </w:r>
      <w:r w:rsidRPr="00E31DF3">
        <w:rPr>
          <w:rFonts w:asciiTheme="minorHAnsi" w:hAnsiTheme="minorHAnsi" w:cstheme="minorHAnsi"/>
        </w:rPr>
        <w:t>iem</w:t>
      </w:r>
      <w:r w:rsidRPr="00E31DF3">
        <w:rPr>
          <w:rFonts w:asciiTheme="minorHAnsi" w:hAnsiTheme="minorHAnsi" w:cstheme="minorHAnsi"/>
        </w:rPr>
        <w:t xml:space="preserve"> zasilania sieciowego</w:t>
      </w:r>
      <w:r w:rsidRPr="00E31DF3">
        <w:rPr>
          <w:rFonts w:asciiTheme="minorHAnsi" w:hAnsiTheme="minorHAnsi" w:cstheme="minorHAnsi"/>
        </w:rPr>
        <w:t xml:space="preserve">, wskaźnikiem zakłóceń, </w:t>
      </w:r>
    </w:p>
    <w:p w14:paraId="23DFD142" w14:textId="14416197" w:rsidR="00B01FB0" w:rsidRPr="00E31DF3" w:rsidRDefault="00B01FB0" w:rsidP="00B5388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</w:rPr>
        <w:t>96 godzinna pamięć rejestrowana co 4 s. wszystkich monitorowanych parametrów pod postacią tabelaryczną i graficzną</w:t>
      </w:r>
    </w:p>
    <w:p w14:paraId="3B767981" w14:textId="30BD1095" w:rsidR="00B01FB0" w:rsidRPr="00E31DF3" w:rsidRDefault="00B01FB0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bCs/>
        </w:rPr>
        <w:t>Interfejs przywołania pielęgniarki</w:t>
      </w:r>
      <w:r w:rsidR="00F7148B" w:rsidRPr="00E31DF3">
        <w:rPr>
          <w:rFonts w:asciiTheme="minorHAnsi" w:hAnsiTheme="minorHAnsi" w:cstheme="minorHAnsi"/>
          <w:bCs/>
        </w:rPr>
        <w:t xml:space="preserve"> oraz </w:t>
      </w:r>
      <w:r w:rsidR="00F7148B" w:rsidRPr="00E31DF3">
        <w:rPr>
          <w:rFonts w:asciiTheme="minorHAnsi" w:eastAsia="Times New Roman" w:hAnsiTheme="minorHAnsi" w:cstheme="minorHAnsi"/>
          <w:color w:val="000000"/>
        </w:rPr>
        <w:t>f</w:t>
      </w:r>
      <w:r w:rsidR="00F7148B" w:rsidRPr="00E31DF3">
        <w:rPr>
          <w:rFonts w:asciiTheme="minorHAnsi" w:eastAsia="Times New Roman" w:hAnsiTheme="minorHAnsi" w:cstheme="minorHAnsi"/>
          <w:color w:val="000000"/>
        </w:rPr>
        <w:t>unkcja przywołania pielęgniarki</w:t>
      </w:r>
      <w:r w:rsidR="00F7148B" w:rsidRPr="00E31DF3">
        <w:rPr>
          <w:rFonts w:asciiTheme="minorHAnsi" w:eastAsia="Times New Roman" w:hAnsiTheme="minorHAnsi" w:cstheme="minorHAnsi"/>
          <w:color w:val="000000"/>
        </w:rPr>
        <w:t>,</w:t>
      </w:r>
    </w:p>
    <w:p w14:paraId="6031F37A" w14:textId="06332C9A" w:rsidR="00F7148B" w:rsidRPr="00E31DF3" w:rsidRDefault="00F7148B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bCs/>
        </w:rPr>
        <w:t xml:space="preserve">Złącze </w:t>
      </w:r>
      <w:r w:rsidRPr="00E31DF3">
        <w:rPr>
          <w:rFonts w:asciiTheme="minorHAnsi" w:hAnsiTheme="minorHAnsi" w:cstheme="minorHAnsi"/>
          <w:bCs/>
          <w:lang w:val="en-US"/>
        </w:rPr>
        <w:t>Mini USB</w:t>
      </w:r>
      <w:r w:rsidRPr="00E31DF3">
        <w:rPr>
          <w:rFonts w:asciiTheme="minorHAnsi" w:hAnsiTheme="minorHAnsi" w:cstheme="minorHAnsi"/>
          <w:bCs/>
          <w:lang w:val="en-US"/>
        </w:rPr>
        <w:t xml:space="preserve"> I USB,</w:t>
      </w:r>
    </w:p>
    <w:p w14:paraId="7442CE95" w14:textId="5FEFCE2D" w:rsidR="00F7148B" w:rsidRPr="00E31DF3" w:rsidRDefault="00F7148B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Regulacja czasu opóźnienia reakcji alarmu na zmianę saturacji w zakresie: 10s, 25s, 50s, 100s dla zmian o 1%.</w:t>
      </w:r>
    </w:p>
    <w:p w14:paraId="0DC5887D" w14:textId="7D86FBA3" w:rsidR="00F7148B" w:rsidRPr="00E31DF3" w:rsidRDefault="00F7148B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Regulacja czasu opóźnienia reakcji na zmianę saturacji wyższą niż 1% według algorytmu: (10s, 25s, 50s, 100s) /   wartość zmiany saturacji = czas opóźnienia reakcji alarmu</w:t>
      </w:r>
    </w:p>
    <w:p w14:paraId="3E70917A" w14:textId="0908E4AD" w:rsidR="00F7148B" w:rsidRPr="00E31DF3" w:rsidRDefault="00F7148B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</w:rPr>
        <w:t>Alarmy dźwiękowe o wysokim, średnim i niskim priorytecie</w:t>
      </w:r>
    </w:p>
    <w:p w14:paraId="35396B68" w14:textId="6C9175E2" w:rsidR="00F7148B" w:rsidRPr="00E31DF3" w:rsidRDefault="00F7148B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Przewód łączący urządzenie z czujnikiem pomiarowym oraz wielorazowy czujnik typu klips – 1 zestaw do aparatu</w:t>
      </w:r>
    </w:p>
    <w:p w14:paraId="4C0337C1" w14:textId="32EB6057" w:rsidR="00634C2C" w:rsidRPr="00E31DF3" w:rsidRDefault="00634C2C" w:rsidP="00E645D6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color w:val="000000"/>
        </w:rPr>
        <w:t>Waga maksymalna 1,7 kg</w:t>
      </w:r>
    </w:p>
    <w:p w14:paraId="1BC0D269" w14:textId="075D4ED4" w:rsidR="00634C2C" w:rsidRPr="00E31DF3" w:rsidRDefault="00634C2C" w:rsidP="00634C2C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MIERZONE WARTOŚCI</w:t>
      </w: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:</w:t>
      </w:r>
    </w:p>
    <w:p w14:paraId="21A5D516" w14:textId="566C6A30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 xml:space="preserve">- </w:t>
      </w:r>
      <w:r w:rsidRPr="00E31DF3">
        <w:rPr>
          <w:rFonts w:asciiTheme="minorHAnsi" w:eastAsia="Times New Roman" w:hAnsiTheme="minorHAnsi" w:cstheme="minorHAnsi"/>
          <w:color w:val="000000"/>
        </w:rPr>
        <w:t>Zakres pomiaru saturacji: 1-100%</w:t>
      </w:r>
    </w:p>
    <w:p w14:paraId="18329EAA" w14:textId="03D91E91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  <w:vertAlign w:val="superscript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-</w:t>
      </w:r>
      <w:r w:rsidRPr="00E31DF3">
        <w:rPr>
          <w:rFonts w:asciiTheme="minorHAnsi" w:hAnsiTheme="minorHAnsi" w:cstheme="minorHAnsi"/>
          <w:b/>
          <w:bCs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</w:rPr>
        <w:t xml:space="preserve">Zakres częstości pulsu: 20-250min </w:t>
      </w:r>
      <w:r w:rsidRPr="00E31DF3">
        <w:rPr>
          <w:rFonts w:asciiTheme="minorHAnsi" w:eastAsia="Times New Roman" w:hAnsiTheme="minorHAnsi" w:cstheme="minorHAnsi"/>
          <w:color w:val="000000"/>
          <w:vertAlign w:val="superscript"/>
        </w:rPr>
        <w:t>-1</w:t>
      </w:r>
    </w:p>
    <w:p w14:paraId="3B76488A" w14:textId="071C75B2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-</w:t>
      </w:r>
      <w:r w:rsidRPr="00E31DF3">
        <w:rPr>
          <w:rFonts w:asciiTheme="minorHAnsi" w:hAnsiTheme="minorHAnsi" w:cstheme="minorHAnsi"/>
          <w:b/>
          <w:bCs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</w:rPr>
        <w:t>Wskaźnik perfuzji: 0,03-20%</w:t>
      </w:r>
    </w:p>
    <w:p w14:paraId="69DBEBED" w14:textId="43906E8E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-</w:t>
      </w:r>
      <w:r w:rsidRPr="00E31DF3">
        <w:rPr>
          <w:rFonts w:asciiTheme="minorHAnsi" w:hAnsiTheme="minorHAnsi" w:cstheme="minorHAnsi"/>
          <w:b/>
          <w:bCs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</w:rPr>
        <w:t>Saturacja (%SpO</w:t>
      </w:r>
      <w:r w:rsidRPr="00E31DF3">
        <w:rPr>
          <w:rFonts w:asciiTheme="minorHAnsi" w:eastAsia="Times New Roman" w:hAnsiTheme="minorHAnsi" w:cstheme="minorHAnsi"/>
          <w:color w:val="000000"/>
          <w:vertAlign w:val="subscript"/>
        </w:rPr>
        <w:t>2</w:t>
      </w:r>
      <w:r w:rsidRPr="00E31DF3">
        <w:rPr>
          <w:rFonts w:asciiTheme="minorHAnsi" w:eastAsia="Times New Roman" w:hAnsiTheme="minorHAnsi" w:cstheme="minorHAnsi"/>
          <w:color w:val="000000"/>
        </w:rPr>
        <w:t>+/-1SD)</w:t>
      </w:r>
    </w:p>
    <w:p w14:paraId="16EE2943" w14:textId="7A2ECA48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lastRenderedPageBreak/>
        <w:t>-</w:t>
      </w:r>
      <w:r w:rsidRPr="00E31DF3">
        <w:rPr>
          <w:rFonts w:asciiTheme="minorHAnsi" w:hAnsiTheme="minorHAnsi" w:cstheme="minorHAnsi"/>
          <w:b/>
          <w:bCs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</w:rPr>
        <w:t>Dorośli: 70-100% +/- 2 cyfry</w:t>
      </w:r>
    </w:p>
    <w:p w14:paraId="70131F05" w14:textId="036A96FA" w:rsidR="00634C2C" w:rsidRPr="00E31DF3" w:rsidRDefault="00634C2C" w:rsidP="00634C2C">
      <w:pPr>
        <w:pStyle w:val="Akapitzlist"/>
        <w:rPr>
          <w:rFonts w:asciiTheme="minorHAnsi" w:eastAsia="Times New Roman" w:hAnsiTheme="minorHAnsi" w:cstheme="minorHAnsi"/>
          <w:color w:val="000000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</w:rPr>
        <w:t>-</w:t>
      </w:r>
      <w:r w:rsidRPr="00E31DF3">
        <w:rPr>
          <w:rFonts w:asciiTheme="minorHAnsi" w:hAnsiTheme="minorHAnsi" w:cstheme="minorHAnsi"/>
          <w:b/>
          <w:bCs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</w:rPr>
        <w:t>Noworodki: 70-100% +/- 3 cyfry</w:t>
      </w:r>
    </w:p>
    <w:p w14:paraId="080FE42B" w14:textId="2A756F9A" w:rsidR="00B01FB0" w:rsidRPr="00E31DF3" w:rsidRDefault="00634C2C" w:rsidP="00B01FB0">
      <w:pPr>
        <w:ind w:left="709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-</w:t>
      </w:r>
      <w:r w:rsidRPr="00E31DF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01FB0" w:rsidRPr="00E31DF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Niska perfuzja: 70-100% +/-2 cyfry</w:t>
      </w:r>
    </w:p>
    <w:p w14:paraId="6870D991" w14:textId="77777777" w:rsidR="00B01FB0" w:rsidRPr="00E31DF3" w:rsidRDefault="00B01FB0" w:rsidP="00B01FB0">
      <w:pPr>
        <w:ind w:left="709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  <w:r w:rsidRPr="00E31DF3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t>-</w:t>
      </w:r>
      <w:r w:rsidRPr="00E31DF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 xml:space="preserve"> 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Częstość pulsu: 20-250 min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/>
        </w:rPr>
        <w:t>-1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+/- 3 cyfry</w:t>
      </w:r>
    </w:p>
    <w:p w14:paraId="1BCE1E92" w14:textId="77777777" w:rsidR="00B01FB0" w:rsidRPr="00E31DF3" w:rsidRDefault="00B01FB0" w:rsidP="00B01FB0">
      <w:pPr>
        <w:ind w:left="709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  <w:r w:rsidRPr="00E31DF3"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  <w:t xml:space="preserve">- 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Częstość pulsu dla niskiej perfuzji: 20-250 min 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/>
        </w:rPr>
        <w:t xml:space="preserve">-1 </w:t>
      </w:r>
      <w:r w:rsidRPr="00E31DF3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+/-3 cyfry</w:t>
      </w:r>
    </w:p>
    <w:p w14:paraId="76473B63" w14:textId="4D777F3C" w:rsidR="00B01FB0" w:rsidRPr="00E31DF3" w:rsidRDefault="00B01FB0" w:rsidP="00B01FB0">
      <w:pPr>
        <w:ind w:left="709"/>
        <w:rPr>
          <w:rFonts w:asciiTheme="minorHAnsi" w:eastAsia="Times New Roman" w:hAnsiTheme="minorHAnsi" w:cstheme="minorHAnsi"/>
          <w:color w:val="000000"/>
          <w:kern w:val="0"/>
          <w:sz w:val="20"/>
          <w:szCs w:val="20"/>
          <w:lang w:eastAsia="pl-PL"/>
        </w:rPr>
      </w:pPr>
    </w:p>
    <w:p w14:paraId="3C10F2DC" w14:textId="2574E20E" w:rsidR="00522FE5" w:rsidRDefault="00522FE5" w:rsidP="00522FE5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Część </w:t>
      </w:r>
      <w:r w:rsidR="00471DF6">
        <w:rPr>
          <w:rFonts w:cs="Times New Roman"/>
          <w:b/>
          <w:bCs/>
          <w:sz w:val="28"/>
          <w:szCs w:val="28"/>
        </w:rPr>
        <w:t>5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14:paraId="0AF0343E" w14:textId="0A0C92A7" w:rsidR="00522FE5" w:rsidRPr="00E31DF3" w:rsidRDefault="00471DF6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31DF3">
        <w:rPr>
          <w:rFonts w:asciiTheme="minorHAnsi" w:hAnsiTheme="minorHAnsi" w:cstheme="minorHAnsi"/>
          <w:b/>
          <w:bCs/>
          <w:sz w:val="22"/>
          <w:szCs w:val="22"/>
        </w:rPr>
        <w:t xml:space="preserve">Analizator do badań SARS-COV-2 – analizator do bezpośredniej identyfikacji drobnoustrojów wraz z testami </w:t>
      </w:r>
      <w:r w:rsidR="008B1665" w:rsidRPr="00E31DF3">
        <w:rPr>
          <w:rFonts w:asciiTheme="minorHAnsi" w:hAnsiTheme="minorHAnsi" w:cstheme="minorHAnsi"/>
          <w:b/>
          <w:bCs/>
          <w:sz w:val="22"/>
          <w:szCs w:val="22"/>
        </w:rPr>
        <w:t>– 150szt.;</w:t>
      </w:r>
      <w:r w:rsidRPr="00E31DF3">
        <w:rPr>
          <w:rFonts w:asciiTheme="minorHAnsi" w:hAnsiTheme="minorHAnsi" w:cstheme="minorHAnsi"/>
          <w:b/>
          <w:bCs/>
          <w:sz w:val="22"/>
          <w:szCs w:val="22"/>
        </w:rPr>
        <w:t xml:space="preserve">  o minimalnych parametrach opisanych poniżej</w:t>
      </w:r>
    </w:p>
    <w:p w14:paraId="29289A28" w14:textId="7C80A0C1" w:rsidR="006A0259" w:rsidRPr="00E31DF3" w:rsidRDefault="006A0259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DA4129B" w14:textId="4B7E40B8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Analizator modułowy (z pojedynczym modułem) w pełni zautomatyzowany do wieloparametrowego oznaczania  drobnoustrojów PCR w systemie zamkniętym wraz ze zintegrowanym: komputerem (z oprogramowaniem do analizatora) oraz czytnikiem kodów kreskowych do identyfikacji odczynników, jak również dodatkowo UPC, drukarką, stacją do przygotowania próbek.</w:t>
      </w:r>
    </w:p>
    <w:p w14:paraId="4585AA83" w14:textId="212522AC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Aparat pracuje w oparciu o system zapewniający zintegrowaną izolację DNA, amplifikację i detekcję w jednym procesie bez konieczności przenoszenia próbki  w obrębie aparatu lub/i do innych urządzeń.</w:t>
      </w:r>
    </w:p>
    <w:p w14:paraId="28AFE1E6" w14:textId="7981757E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 xml:space="preserve">System wykorzystuje technologię </w:t>
      </w:r>
      <w:proofErr w:type="spellStart"/>
      <w:r w:rsidRPr="00E31DF3">
        <w:rPr>
          <w:rFonts w:asciiTheme="minorHAnsi" w:hAnsiTheme="minorHAnsi" w:cstheme="minorHAnsi"/>
          <w:lang w:eastAsia="en-US"/>
        </w:rPr>
        <w:t>nested</w:t>
      </w:r>
      <w:proofErr w:type="spellEnd"/>
      <w:r w:rsidRPr="00E31DF3">
        <w:rPr>
          <w:rFonts w:asciiTheme="minorHAnsi" w:hAnsiTheme="minorHAnsi" w:cstheme="minorHAnsi"/>
          <w:lang w:eastAsia="en-US"/>
        </w:rPr>
        <w:t xml:space="preserve"> multipleks PCR o podwyższonej czułości i specyficzności oznaczeń.</w:t>
      </w:r>
    </w:p>
    <w:p w14:paraId="76854FB8" w14:textId="01BA2059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Odczynniki gotowe do użycia o zamkniętym układzie reakcyjnym posiadające zabezpieczenie przed uszkodzeniem i kontaminacją.</w:t>
      </w:r>
    </w:p>
    <w:p w14:paraId="5C779F2B" w14:textId="06B5BA93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Testy w formie panelów wykorzystujących technikę multipleks PCR do jednoczesnego wykrywania wielu patogenów.</w:t>
      </w:r>
    </w:p>
    <w:p w14:paraId="04C34979" w14:textId="3B48B2AA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Możliwość wykonania badania bezpośrednio z próbki pobranej od pacjenta lub dodatniego posiewu krwi bez wstępnej ekstrakcji DNA</w:t>
      </w:r>
    </w:p>
    <w:p w14:paraId="6EFAECCF" w14:textId="2B37726C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Testy w formie panelów posiadają kontrole wewnętrzne umożliwiające monitorowanie poprawności wykonania badania na każdym etapie.</w:t>
      </w:r>
    </w:p>
    <w:p w14:paraId="092D5AA7" w14:textId="0F16F993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Czas wykonania analizy poniżej 70 minut.</w:t>
      </w:r>
    </w:p>
    <w:p w14:paraId="7F712310" w14:textId="6B11D8E6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Aparat wydaje wynik gotowy do interpretacji.</w:t>
      </w:r>
    </w:p>
    <w:p w14:paraId="26BAE7D1" w14:textId="3365650D" w:rsidR="006A0259" w:rsidRPr="00E31DF3" w:rsidRDefault="006A0259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Aparat nie wymaga spełniania kryteriów pracowni biologii molekularnej.</w:t>
      </w:r>
    </w:p>
    <w:p w14:paraId="53E27EFC" w14:textId="2D56424C" w:rsidR="006A0259" w:rsidRPr="00E31DF3" w:rsidRDefault="001C2D0C" w:rsidP="006A025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bCs/>
        </w:rPr>
      </w:pPr>
      <w:r w:rsidRPr="00E31DF3">
        <w:rPr>
          <w:rFonts w:asciiTheme="minorHAnsi" w:hAnsiTheme="minorHAnsi" w:cstheme="minorHAnsi"/>
          <w:lang w:eastAsia="en-US"/>
        </w:rPr>
        <w:t>Testy</w:t>
      </w:r>
      <w:r w:rsidR="006A0259" w:rsidRPr="00E31DF3">
        <w:rPr>
          <w:rFonts w:asciiTheme="minorHAnsi" w:hAnsiTheme="minorHAnsi" w:cstheme="minorHAnsi"/>
          <w:lang w:eastAsia="en-US"/>
        </w:rPr>
        <w:t xml:space="preserve"> multipleks PCR kompatybilne z aparatem zestawione w panelach umożliwiające detekcję grup patogenów i mechanizmów oporności na antybiotyki:</w:t>
      </w:r>
    </w:p>
    <w:p w14:paraId="3AA477AB" w14:textId="10F29E8A" w:rsidR="006A0259" w:rsidRPr="00E31DF3" w:rsidRDefault="006A0259" w:rsidP="00FD01B5">
      <w:pPr>
        <w:pStyle w:val="Akapitzlist"/>
        <w:ind w:left="709" w:hanging="142"/>
        <w:rPr>
          <w:rFonts w:asciiTheme="minorHAnsi" w:hAnsiTheme="minorHAnsi" w:cstheme="minorHAnsi"/>
          <w:b/>
          <w:bCs/>
          <w:lang w:eastAsia="en-US"/>
        </w:rPr>
      </w:pPr>
      <w:r w:rsidRPr="00E31DF3">
        <w:rPr>
          <w:rFonts w:asciiTheme="minorHAnsi" w:hAnsiTheme="minorHAnsi" w:cstheme="minorHAnsi"/>
          <w:b/>
          <w:bCs/>
          <w:lang w:eastAsia="en-US"/>
        </w:rPr>
        <w:t xml:space="preserve">- Panel do wykrywania bakterii atypowych i wirusów  z  górnych dróg oddechowych (wymaz  z </w:t>
      </w:r>
      <w:proofErr w:type="spellStart"/>
      <w:r w:rsidRPr="00E31DF3">
        <w:rPr>
          <w:rFonts w:asciiTheme="minorHAnsi" w:hAnsiTheme="minorHAnsi" w:cstheme="minorHAnsi"/>
          <w:b/>
          <w:bCs/>
          <w:lang w:eastAsia="en-US"/>
        </w:rPr>
        <w:t>nosogardzieli</w:t>
      </w:r>
      <w:proofErr w:type="spellEnd"/>
      <w:r w:rsidRPr="00E31DF3">
        <w:rPr>
          <w:rFonts w:asciiTheme="minorHAnsi" w:hAnsiTheme="minorHAnsi" w:cstheme="minorHAnsi"/>
          <w:b/>
          <w:bCs/>
          <w:lang w:eastAsia="en-US"/>
        </w:rPr>
        <w:t>) w tym COVID-19:</w:t>
      </w:r>
    </w:p>
    <w:p w14:paraId="305CB9F2" w14:textId="6F5764F1" w:rsidR="006A0259" w:rsidRPr="00E31DF3" w:rsidRDefault="006A0259" w:rsidP="006A0259">
      <w:pPr>
        <w:pStyle w:val="Akapitzlist"/>
        <w:rPr>
          <w:rFonts w:asciiTheme="minorHAnsi" w:hAnsiTheme="minorHAnsi" w:cstheme="minorHAnsi"/>
          <w:lang w:eastAsia="en-US"/>
        </w:rPr>
      </w:pPr>
      <w:r w:rsidRPr="00E31DF3">
        <w:rPr>
          <w:rFonts w:asciiTheme="minorHAnsi" w:hAnsiTheme="minorHAnsi" w:cstheme="minorHAnsi"/>
          <w:lang w:eastAsia="en-US"/>
        </w:rPr>
        <w:t xml:space="preserve">Wykrywający przede wszystkim wirusy Covid-19, Influenza A, B, wirusy </w:t>
      </w:r>
      <w:proofErr w:type="spellStart"/>
      <w:r w:rsidRPr="00E31DF3">
        <w:rPr>
          <w:rFonts w:asciiTheme="minorHAnsi" w:hAnsiTheme="minorHAnsi" w:cstheme="minorHAnsi"/>
          <w:lang w:eastAsia="en-US"/>
        </w:rPr>
        <w:t>Parainfluenza</w:t>
      </w:r>
      <w:proofErr w:type="spellEnd"/>
      <w:r w:rsidRPr="00E31DF3">
        <w:rPr>
          <w:rFonts w:asciiTheme="minorHAnsi" w:hAnsiTheme="minorHAnsi" w:cstheme="minorHAnsi"/>
          <w:lang w:eastAsia="en-US"/>
        </w:rPr>
        <w:t xml:space="preserve">,  </w:t>
      </w:r>
      <w:proofErr w:type="spellStart"/>
      <w:r w:rsidRPr="00E31DF3">
        <w:rPr>
          <w:rFonts w:asciiTheme="minorHAnsi" w:hAnsiTheme="minorHAnsi" w:cstheme="minorHAnsi"/>
          <w:lang w:eastAsia="en-US"/>
        </w:rPr>
        <w:t>Rinowirusy</w:t>
      </w:r>
      <w:proofErr w:type="spellEnd"/>
      <w:r w:rsidRPr="00E31DF3">
        <w:rPr>
          <w:rFonts w:asciiTheme="minorHAnsi" w:hAnsiTheme="minorHAnsi" w:cstheme="minorHAnsi"/>
          <w:lang w:eastAsia="en-US"/>
        </w:rPr>
        <w:t>/</w:t>
      </w:r>
      <w:proofErr w:type="spellStart"/>
      <w:r w:rsidRPr="00E31DF3">
        <w:rPr>
          <w:rFonts w:asciiTheme="minorHAnsi" w:hAnsiTheme="minorHAnsi" w:cstheme="minorHAnsi"/>
          <w:lang w:eastAsia="en-US"/>
        </w:rPr>
        <w:t>Enterowirusy</w:t>
      </w:r>
      <w:proofErr w:type="spellEnd"/>
      <w:r w:rsidRPr="00E31DF3">
        <w:rPr>
          <w:rFonts w:asciiTheme="minorHAnsi" w:hAnsiTheme="minorHAnsi" w:cstheme="minorHAnsi"/>
          <w:lang w:eastAsia="en-US"/>
        </w:rPr>
        <w:t>, RSV oraz  bakterie atypowe.</w:t>
      </w:r>
    </w:p>
    <w:p w14:paraId="32D05526" w14:textId="77777777" w:rsidR="006A0259" w:rsidRPr="00E31DF3" w:rsidRDefault="006A0259" w:rsidP="00FD01B5">
      <w:pPr>
        <w:widowControl/>
        <w:suppressAutoHyphens w:val="0"/>
        <w:ind w:left="709" w:hanging="142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E31DF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- </w:t>
      </w:r>
      <w:r w:rsidRPr="00E31DF3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>Panel do wykrywania bakterii typowych i atypowych, wirusów i genów oporności na antybiotyki z dolnych dróg oddechowych (materiał: plwocina, BAL):</w:t>
      </w:r>
    </w:p>
    <w:p w14:paraId="06C8561C" w14:textId="50607CFB" w:rsidR="006A0259" w:rsidRPr="00E31DF3" w:rsidRDefault="006A0259" w:rsidP="006A0259">
      <w:pPr>
        <w:pStyle w:val="Akapitzlist"/>
        <w:rPr>
          <w:rFonts w:asciiTheme="minorHAnsi" w:hAnsiTheme="minorHAnsi" w:cstheme="minorHAnsi"/>
          <w:lang w:eastAsia="en-US"/>
        </w:rPr>
      </w:pPr>
      <w:r w:rsidRPr="00E31DF3">
        <w:rPr>
          <w:rFonts w:asciiTheme="minorHAnsi" w:hAnsiTheme="minorHAnsi" w:cstheme="minorHAnsi"/>
          <w:lang w:eastAsia="en-US"/>
        </w:rPr>
        <w:t>Wykrywający najczęściej powodujące infekcje bakterie G (+), G (-), niefermentujące i atypowe wirusy oraz geny oporności na antybiotyki.</w:t>
      </w:r>
    </w:p>
    <w:p w14:paraId="0AB77C9D" w14:textId="77777777" w:rsidR="006A0259" w:rsidRPr="00352624" w:rsidRDefault="006A0259" w:rsidP="00FD01B5">
      <w:pPr>
        <w:widowControl/>
        <w:suppressAutoHyphens w:val="0"/>
        <w:ind w:left="709" w:hanging="142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352624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- </w:t>
      </w:r>
      <w:r w:rsidRPr="00352624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>Panel do wykrywania patogenów zakażeń krwi i genów oporności na antybiotyki z dodatnich  hodowli (butelek krwi)</w:t>
      </w:r>
    </w:p>
    <w:p w14:paraId="20A78114" w14:textId="2E6FF452" w:rsidR="006A0259" w:rsidRPr="00352624" w:rsidRDefault="006A0259" w:rsidP="006A0259">
      <w:pPr>
        <w:pStyle w:val="Akapitzlist"/>
        <w:rPr>
          <w:rFonts w:asciiTheme="minorHAnsi" w:hAnsiTheme="minorHAnsi" w:cstheme="minorHAnsi"/>
          <w:lang w:eastAsia="en-US"/>
        </w:rPr>
      </w:pPr>
      <w:r w:rsidRPr="00352624">
        <w:rPr>
          <w:rFonts w:asciiTheme="minorHAnsi" w:hAnsiTheme="minorHAnsi" w:cstheme="minorHAnsi"/>
          <w:lang w:eastAsia="en-US"/>
        </w:rPr>
        <w:t>Bakterie najczęściej powodujące zakażenie krwi G (+), G (-), niefermentujące, grzyby drożdżopodobne i geny oporności np. MRSA, VRE, KPC.</w:t>
      </w:r>
    </w:p>
    <w:p w14:paraId="52C353DD" w14:textId="0910D5A3" w:rsidR="005C7FEB" w:rsidRPr="00352624" w:rsidRDefault="005C7FEB" w:rsidP="005C7FEB">
      <w:pPr>
        <w:widowControl/>
        <w:suppressAutoHyphens w:val="0"/>
        <w:ind w:left="709" w:hanging="142"/>
        <w:rPr>
          <w:rFonts w:asciiTheme="minorHAnsi" w:eastAsia="Calibri" w:hAnsiTheme="minorHAnsi" w:cstheme="minorHAnsi"/>
          <w:kern w:val="0"/>
          <w:sz w:val="20"/>
          <w:szCs w:val="20"/>
          <w:lang w:eastAsia="en-US"/>
        </w:rPr>
      </w:pPr>
      <w:r w:rsidRPr="00352624">
        <w:rPr>
          <w:rFonts w:asciiTheme="minorHAnsi" w:eastAsia="Calibri" w:hAnsiTheme="minorHAnsi" w:cstheme="minorHAnsi"/>
          <w:b/>
          <w:kern w:val="0"/>
          <w:sz w:val="20"/>
          <w:szCs w:val="20"/>
          <w:lang w:eastAsia="en-US"/>
        </w:rPr>
        <w:t xml:space="preserve">- Panel do wykrywania bakterii, wirusów i pasożytów jelitowych: </w:t>
      </w:r>
    </w:p>
    <w:p w14:paraId="17FCA7F0" w14:textId="1B59199C" w:rsidR="005C7FEB" w:rsidRPr="00352624" w:rsidRDefault="005C7FEB" w:rsidP="005C7FEB">
      <w:pPr>
        <w:pStyle w:val="Akapitzlist"/>
        <w:rPr>
          <w:rFonts w:asciiTheme="minorHAnsi" w:hAnsiTheme="minorHAnsi" w:cstheme="minorHAnsi"/>
          <w:lang w:eastAsia="en-US"/>
        </w:rPr>
      </w:pPr>
      <w:r w:rsidRPr="00352624">
        <w:rPr>
          <w:rFonts w:asciiTheme="minorHAnsi" w:hAnsiTheme="minorHAnsi" w:cstheme="minorHAnsi"/>
          <w:lang w:eastAsia="en-US"/>
        </w:rPr>
        <w:t>Bakterie, pasożyty, wirusy – najczęściej powodujące zakażenie układu pokarmowego.</w:t>
      </w:r>
    </w:p>
    <w:p w14:paraId="0B0C4561" w14:textId="77777777" w:rsidR="005C7FEB" w:rsidRPr="00352624" w:rsidRDefault="005C7FEB" w:rsidP="005C7FEB">
      <w:pPr>
        <w:pStyle w:val="Akapitzlist"/>
        <w:ind w:hanging="153"/>
        <w:rPr>
          <w:rFonts w:asciiTheme="minorHAnsi" w:hAnsiTheme="minorHAnsi" w:cstheme="minorHAnsi"/>
          <w:lang w:eastAsia="en-US"/>
        </w:rPr>
      </w:pPr>
      <w:r w:rsidRPr="00352624">
        <w:rPr>
          <w:rFonts w:asciiTheme="minorHAnsi" w:hAnsiTheme="minorHAnsi" w:cstheme="minorHAnsi"/>
          <w:lang w:eastAsia="en-US"/>
        </w:rPr>
        <w:t xml:space="preserve">- </w:t>
      </w:r>
      <w:r w:rsidRPr="00352624">
        <w:rPr>
          <w:rFonts w:asciiTheme="minorHAnsi" w:hAnsiTheme="minorHAnsi" w:cstheme="minorHAnsi"/>
          <w:b/>
          <w:bCs/>
          <w:lang w:eastAsia="en-US"/>
        </w:rPr>
        <w:t>Panel do wykrywania bakterii, wirusów i drożdżaków z płynu mózgowo-rdzeniowego</w:t>
      </w:r>
      <w:r w:rsidRPr="00352624">
        <w:rPr>
          <w:rFonts w:asciiTheme="minorHAnsi" w:hAnsiTheme="minorHAnsi" w:cstheme="minorHAnsi"/>
          <w:lang w:eastAsia="en-US"/>
        </w:rPr>
        <w:t>:</w:t>
      </w:r>
    </w:p>
    <w:p w14:paraId="70CE5D99" w14:textId="77777777" w:rsidR="005C7FEB" w:rsidRPr="00352624" w:rsidRDefault="005C7FEB" w:rsidP="005C7FEB">
      <w:pPr>
        <w:pStyle w:val="Akapitzlist"/>
        <w:rPr>
          <w:rFonts w:asciiTheme="minorHAnsi" w:hAnsiTheme="minorHAnsi" w:cstheme="minorHAnsi"/>
          <w:lang w:eastAsia="en-US"/>
        </w:rPr>
      </w:pPr>
      <w:r w:rsidRPr="00352624">
        <w:rPr>
          <w:rFonts w:asciiTheme="minorHAnsi" w:hAnsiTheme="minorHAnsi" w:cstheme="minorHAnsi"/>
          <w:lang w:eastAsia="en-US"/>
        </w:rPr>
        <w:t xml:space="preserve">Bakterie najczęściej powodujące zakażenie OUN oraz wirusy w szczególności  </w:t>
      </w:r>
      <w:proofErr w:type="spellStart"/>
      <w:r w:rsidRPr="00352624">
        <w:rPr>
          <w:rFonts w:asciiTheme="minorHAnsi" w:hAnsiTheme="minorHAnsi" w:cstheme="minorHAnsi"/>
          <w:lang w:eastAsia="en-US"/>
        </w:rPr>
        <w:t>Cytomegalowirus</w:t>
      </w:r>
      <w:proofErr w:type="spellEnd"/>
      <w:r w:rsidRPr="00352624">
        <w:rPr>
          <w:rFonts w:asciiTheme="minorHAnsi" w:hAnsiTheme="minorHAnsi" w:cstheme="minorHAnsi"/>
          <w:lang w:eastAsia="en-US"/>
        </w:rPr>
        <w:t xml:space="preserve">, </w:t>
      </w:r>
      <w:proofErr w:type="spellStart"/>
      <w:r w:rsidRPr="00352624">
        <w:rPr>
          <w:rFonts w:asciiTheme="minorHAnsi" w:hAnsiTheme="minorHAnsi" w:cstheme="minorHAnsi"/>
          <w:lang w:eastAsia="en-US"/>
        </w:rPr>
        <w:t>Enterowirus</w:t>
      </w:r>
      <w:proofErr w:type="spellEnd"/>
      <w:r w:rsidRPr="00352624">
        <w:rPr>
          <w:rFonts w:asciiTheme="minorHAnsi" w:hAnsiTheme="minorHAnsi" w:cstheme="minorHAnsi"/>
          <w:lang w:eastAsia="en-US"/>
        </w:rPr>
        <w:t xml:space="preserve">, wirus opryszczki typu 1, typu 2, ludzki </w:t>
      </w:r>
      <w:proofErr w:type="spellStart"/>
      <w:r w:rsidRPr="00352624">
        <w:rPr>
          <w:rFonts w:asciiTheme="minorHAnsi" w:hAnsiTheme="minorHAnsi" w:cstheme="minorHAnsi"/>
          <w:lang w:eastAsia="en-US"/>
        </w:rPr>
        <w:t>herpeswirus</w:t>
      </w:r>
      <w:proofErr w:type="spellEnd"/>
      <w:r w:rsidRPr="00352624">
        <w:rPr>
          <w:rFonts w:asciiTheme="minorHAnsi" w:hAnsiTheme="minorHAnsi" w:cstheme="minorHAnsi"/>
          <w:lang w:eastAsia="en-US"/>
        </w:rPr>
        <w:t xml:space="preserve"> typu 6,  wirus ospy wietrznej-półpaśca </w:t>
      </w:r>
    </w:p>
    <w:p w14:paraId="44383C41" w14:textId="68465D67" w:rsidR="005C7FEB" w:rsidRPr="00352624" w:rsidRDefault="005C7FEB" w:rsidP="005C7FEB">
      <w:pPr>
        <w:pStyle w:val="Akapitzlist"/>
        <w:rPr>
          <w:rFonts w:asciiTheme="minorHAnsi" w:hAnsiTheme="minorHAnsi" w:cstheme="minorHAnsi"/>
          <w:lang w:eastAsia="en-US"/>
        </w:rPr>
      </w:pPr>
      <w:r w:rsidRPr="00352624">
        <w:rPr>
          <w:rFonts w:asciiTheme="minorHAnsi" w:hAnsiTheme="minorHAnsi" w:cstheme="minorHAnsi"/>
          <w:lang w:eastAsia="en-US"/>
        </w:rPr>
        <w:t>+ grzyby powodujące najczęściej zakażenie OUN.</w:t>
      </w:r>
    </w:p>
    <w:p w14:paraId="6E7A3492" w14:textId="16730AAA" w:rsidR="005C7FEB" w:rsidRPr="00D60901" w:rsidRDefault="005C7FEB" w:rsidP="005C7FEB">
      <w:pPr>
        <w:pStyle w:val="Akapitzlist"/>
        <w:numPr>
          <w:ilvl w:val="0"/>
          <w:numId w:val="15"/>
        </w:numPr>
        <w:ind w:left="709" w:hanging="425"/>
        <w:rPr>
          <w:rFonts w:asciiTheme="minorHAnsi" w:hAnsiTheme="minorHAnsi" w:cstheme="minorHAnsi"/>
          <w:b/>
          <w:bCs/>
        </w:rPr>
      </w:pPr>
      <w:r w:rsidRPr="00D60901">
        <w:rPr>
          <w:rFonts w:asciiTheme="minorHAnsi" w:hAnsiTheme="minorHAnsi" w:cstheme="minorHAnsi"/>
          <w:lang w:eastAsia="en-US"/>
        </w:rPr>
        <w:t>Wpięcie analizatora do LIS na koszt Wykonawcy</w:t>
      </w:r>
    </w:p>
    <w:p w14:paraId="7C3B47DA" w14:textId="77777777" w:rsidR="00170BDA" w:rsidRPr="00E31DF3" w:rsidRDefault="00170BDA" w:rsidP="00BB220F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70BDA" w:rsidRPr="00E31DF3" w:rsidSect="00FD01B5">
      <w:headerReference w:type="default" r:id="rId8"/>
      <w:footerReference w:type="default" r:id="rId9"/>
      <w:pgSz w:w="12240" w:h="15840"/>
      <w:pgMar w:top="1440" w:right="1325" w:bottom="993" w:left="1843" w:header="720" w:footer="42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E030" w14:textId="77777777" w:rsidR="00FF6833" w:rsidRDefault="00FF6833">
      <w:r>
        <w:separator/>
      </w:r>
    </w:p>
  </w:endnote>
  <w:endnote w:type="continuationSeparator" w:id="0">
    <w:p w14:paraId="037F5DD6" w14:textId="77777777" w:rsidR="00FF6833" w:rsidRDefault="00FF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MS Mincho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CBB04" w14:textId="77777777" w:rsidR="00FF6833" w:rsidRDefault="00FF6833">
      <w:r>
        <w:separator/>
      </w:r>
    </w:p>
  </w:footnote>
  <w:footnote w:type="continuationSeparator" w:id="0">
    <w:p w14:paraId="6FFC7B39" w14:textId="77777777" w:rsidR="00FF6833" w:rsidRDefault="00FF6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6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3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1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3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5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29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4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049B70D3"/>
    <w:multiLevelType w:val="hybridMultilevel"/>
    <w:tmpl w:val="78D27EB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5967DC8"/>
    <w:multiLevelType w:val="hybridMultilevel"/>
    <w:tmpl w:val="4988525C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47" w15:restartNumberingAfterBreak="0">
    <w:nsid w:val="16D35E7F"/>
    <w:multiLevelType w:val="hybridMultilevel"/>
    <w:tmpl w:val="F98047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9" w15:restartNumberingAfterBreak="0">
    <w:nsid w:val="19DD7127"/>
    <w:multiLevelType w:val="hybridMultilevel"/>
    <w:tmpl w:val="7E863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1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 w15:restartNumberingAfterBreak="0">
    <w:nsid w:val="293F057A"/>
    <w:multiLevelType w:val="hybridMultilevel"/>
    <w:tmpl w:val="FAD8BA0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1302C25"/>
    <w:multiLevelType w:val="hybridMultilevel"/>
    <w:tmpl w:val="6AF0F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3B9173EC"/>
    <w:multiLevelType w:val="hybridMultilevel"/>
    <w:tmpl w:val="F93654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6" w15:restartNumberingAfterBreak="0">
    <w:nsid w:val="3C8F0B19"/>
    <w:multiLevelType w:val="hybridMultilevel"/>
    <w:tmpl w:val="EEB8A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58" w15:restartNumberingAfterBreak="0">
    <w:nsid w:val="477D39B6"/>
    <w:multiLevelType w:val="hybridMultilevel"/>
    <w:tmpl w:val="8318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BE7787"/>
    <w:multiLevelType w:val="hybridMultilevel"/>
    <w:tmpl w:val="7E16702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A6A7D45"/>
    <w:multiLevelType w:val="hybridMultilevel"/>
    <w:tmpl w:val="342E1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D0A3803"/>
    <w:multiLevelType w:val="hybridMultilevel"/>
    <w:tmpl w:val="1EFE78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63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4" w15:restartNumberingAfterBreak="0">
    <w:nsid w:val="5BC2628B"/>
    <w:multiLevelType w:val="hybridMultilevel"/>
    <w:tmpl w:val="B3F2F10E"/>
    <w:lvl w:ilvl="0" w:tplc="7834F230">
      <w:numFmt w:val="bullet"/>
      <w:lvlText w:val="•"/>
      <w:lvlJc w:val="left"/>
      <w:pPr>
        <w:ind w:left="786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5" w15:restartNumberingAfterBreak="0">
    <w:nsid w:val="617C12AD"/>
    <w:multiLevelType w:val="hybridMultilevel"/>
    <w:tmpl w:val="50BCAE00"/>
    <w:lvl w:ilvl="0" w:tplc="83A01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7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9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1" w15:restartNumberingAfterBreak="0">
    <w:nsid w:val="7FE547F1"/>
    <w:multiLevelType w:val="hybridMultilevel"/>
    <w:tmpl w:val="33E0A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2"/>
  </w:num>
  <w:num w:numId="3">
    <w:abstractNumId w:val="44"/>
  </w:num>
  <w:num w:numId="4">
    <w:abstractNumId w:val="52"/>
  </w:num>
  <w:num w:numId="5">
    <w:abstractNumId w:val="55"/>
  </w:num>
  <w:num w:numId="6">
    <w:abstractNumId w:val="64"/>
  </w:num>
  <w:num w:numId="7">
    <w:abstractNumId w:val="47"/>
  </w:num>
  <w:num w:numId="8">
    <w:abstractNumId w:val="65"/>
  </w:num>
  <w:num w:numId="9">
    <w:abstractNumId w:val="56"/>
  </w:num>
  <w:num w:numId="10">
    <w:abstractNumId w:val="59"/>
  </w:num>
  <w:num w:numId="11">
    <w:abstractNumId w:val="71"/>
  </w:num>
  <w:num w:numId="12">
    <w:abstractNumId w:val="53"/>
  </w:num>
  <w:num w:numId="13">
    <w:abstractNumId w:val="58"/>
  </w:num>
  <w:num w:numId="14">
    <w:abstractNumId w:val="60"/>
  </w:num>
  <w:num w:numId="15">
    <w:abstractNumId w:val="61"/>
  </w:num>
  <w:num w:numId="16">
    <w:abstractNumId w:val="4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075C1"/>
    <w:rsid w:val="00012A48"/>
    <w:rsid w:val="00022DFA"/>
    <w:rsid w:val="0002386D"/>
    <w:rsid w:val="000246D1"/>
    <w:rsid w:val="00030EDD"/>
    <w:rsid w:val="00040BB5"/>
    <w:rsid w:val="00045B64"/>
    <w:rsid w:val="00050260"/>
    <w:rsid w:val="0005324A"/>
    <w:rsid w:val="000540B7"/>
    <w:rsid w:val="00056232"/>
    <w:rsid w:val="000568A7"/>
    <w:rsid w:val="00056C01"/>
    <w:rsid w:val="00060F35"/>
    <w:rsid w:val="000639DF"/>
    <w:rsid w:val="00064328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A481C"/>
    <w:rsid w:val="000B0C21"/>
    <w:rsid w:val="000B48FE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21C3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0BDA"/>
    <w:rsid w:val="001728A1"/>
    <w:rsid w:val="00173BC6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A6AB9"/>
    <w:rsid w:val="001B2AB6"/>
    <w:rsid w:val="001B4DE8"/>
    <w:rsid w:val="001B5F4D"/>
    <w:rsid w:val="001C0B8B"/>
    <w:rsid w:val="001C1629"/>
    <w:rsid w:val="001C2D0C"/>
    <w:rsid w:val="001C36FF"/>
    <w:rsid w:val="001C4A6A"/>
    <w:rsid w:val="001C6832"/>
    <w:rsid w:val="001C6BF2"/>
    <w:rsid w:val="001D107E"/>
    <w:rsid w:val="001D4952"/>
    <w:rsid w:val="001E03AA"/>
    <w:rsid w:val="001E1525"/>
    <w:rsid w:val="001E2B41"/>
    <w:rsid w:val="001E7F13"/>
    <w:rsid w:val="001F00FA"/>
    <w:rsid w:val="001F1ED7"/>
    <w:rsid w:val="001F48FF"/>
    <w:rsid w:val="001F6E5E"/>
    <w:rsid w:val="001F6EFF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46DA2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3B0E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2624"/>
    <w:rsid w:val="0035471F"/>
    <w:rsid w:val="0035790B"/>
    <w:rsid w:val="0035796A"/>
    <w:rsid w:val="00357C22"/>
    <w:rsid w:val="00360C60"/>
    <w:rsid w:val="00361720"/>
    <w:rsid w:val="0036370C"/>
    <w:rsid w:val="003642C1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A4635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625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465AA"/>
    <w:rsid w:val="00454D74"/>
    <w:rsid w:val="004567C8"/>
    <w:rsid w:val="004621FB"/>
    <w:rsid w:val="004645CA"/>
    <w:rsid w:val="00465E42"/>
    <w:rsid w:val="00466ACD"/>
    <w:rsid w:val="00467347"/>
    <w:rsid w:val="00470CD2"/>
    <w:rsid w:val="00471DF6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61D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D5F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1A4E"/>
    <w:rsid w:val="0051223E"/>
    <w:rsid w:val="00513034"/>
    <w:rsid w:val="00513A3A"/>
    <w:rsid w:val="00517313"/>
    <w:rsid w:val="005201F5"/>
    <w:rsid w:val="00522FE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3A4D"/>
    <w:rsid w:val="005A4D20"/>
    <w:rsid w:val="005B0B07"/>
    <w:rsid w:val="005B1E70"/>
    <w:rsid w:val="005B6F32"/>
    <w:rsid w:val="005C0A0A"/>
    <w:rsid w:val="005C7015"/>
    <w:rsid w:val="005C7FEB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4C2C"/>
    <w:rsid w:val="00635FE5"/>
    <w:rsid w:val="00636361"/>
    <w:rsid w:val="0064063E"/>
    <w:rsid w:val="006417EF"/>
    <w:rsid w:val="00641833"/>
    <w:rsid w:val="006445EC"/>
    <w:rsid w:val="00646A5E"/>
    <w:rsid w:val="00646BCF"/>
    <w:rsid w:val="00647605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0259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3FE1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526F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23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665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BF5"/>
    <w:rsid w:val="008F3C62"/>
    <w:rsid w:val="008F7099"/>
    <w:rsid w:val="008F7562"/>
    <w:rsid w:val="009014C8"/>
    <w:rsid w:val="00901996"/>
    <w:rsid w:val="00912669"/>
    <w:rsid w:val="0092517E"/>
    <w:rsid w:val="0092725F"/>
    <w:rsid w:val="00933009"/>
    <w:rsid w:val="00936EDE"/>
    <w:rsid w:val="00940E98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278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7C3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145E"/>
    <w:rsid w:val="00AD5B6C"/>
    <w:rsid w:val="00AD6922"/>
    <w:rsid w:val="00AE1231"/>
    <w:rsid w:val="00AE1367"/>
    <w:rsid w:val="00AE2B45"/>
    <w:rsid w:val="00AE3197"/>
    <w:rsid w:val="00AF7B49"/>
    <w:rsid w:val="00B01FB0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20F"/>
    <w:rsid w:val="00BB2945"/>
    <w:rsid w:val="00BB2F1B"/>
    <w:rsid w:val="00BB3237"/>
    <w:rsid w:val="00BB6A9F"/>
    <w:rsid w:val="00BC1632"/>
    <w:rsid w:val="00BD362C"/>
    <w:rsid w:val="00BD38BB"/>
    <w:rsid w:val="00BD43F4"/>
    <w:rsid w:val="00BE10FC"/>
    <w:rsid w:val="00BE1DBD"/>
    <w:rsid w:val="00BE2E7D"/>
    <w:rsid w:val="00BE3E74"/>
    <w:rsid w:val="00BE7573"/>
    <w:rsid w:val="00BE7D7D"/>
    <w:rsid w:val="00BF7926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40F0"/>
    <w:rsid w:val="00C44BC4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57F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07F16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0901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081B"/>
    <w:rsid w:val="00E228DA"/>
    <w:rsid w:val="00E2614F"/>
    <w:rsid w:val="00E26BAC"/>
    <w:rsid w:val="00E309E9"/>
    <w:rsid w:val="00E30A9B"/>
    <w:rsid w:val="00E30B7D"/>
    <w:rsid w:val="00E31DF3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B79DF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0D34"/>
    <w:rsid w:val="00F52859"/>
    <w:rsid w:val="00F53679"/>
    <w:rsid w:val="00F53C2E"/>
    <w:rsid w:val="00F61D64"/>
    <w:rsid w:val="00F63998"/>
    <w:rsid w:val="00F65034"/>
    <w:rsid w:val="00F665D6"/>
    <w:rsid w:val="00F70059"/>
    <w:rsid w:val="00F7148B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01B5"/>
    <w:rsid w:val="00FD16A3"/>
    <w:rsid w:val="00FD3566"/>
    <w:rsid w:val="00FE24E1"/>
    <w:rsid w:val="00FE3912"/>
    <w:rsid w:val="00FE4666"/>
    <w:rsid w:val="00FE6A62"/>
    <w:rsid w:val="00FF1B4A"/>
    <w:rsid w:val="00FF2B79"/>
    <w:rsid w:val="00FF49F6"/>
    <w:rsid w:val="00FF6080"/>
    <w:rsid w:val="00FF650F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  <w:style w:type="paragraph" w:customStyle="1" w:styleId="Standardowy1">
    <w:name w:val="Standardowy1"/>
    <w:rsid w:val="001728A1"/>
    <w:rPr>
      <w:rFonts w:eastAsia="Arial Unicode MS" w:cs="Arial Unicode MS"/>
      <w:color w:val="000000"/>
      <w:u w:color="000000"/>
    </w:rPr>
  </w:style>
  <w:style w:type="character" w:customStyle="1" w:styleId="A2">
    <w:name w:val="A2"/>
    <w:uiPriority w:val="99"/>
    <w:rsid w:val="00471DF6"/>
    <w:rPr>
      <w:rFonts w:cs="Open Sans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9B66-5314-4C86-B147-0F6C28F5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4</Pages>
  <Words>1646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11505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Ilona Lis</cp:lastModifiedBy>
  <cp:revision>162</cp:revision>
  <cp:lastPrinted>2018-10-10T06:41:00Z</cp:lastPrinted>
  <dcterms:created xsi:type="dcterms:W3CDTF">2018-09-27T06:35:00Z</dcterms:created>
  <dcterms:modified xsi:type="dcterms:W3CDTF">2021-12-17T10:22:00Z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